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ai-3/26</w:t>
      </w:r>
    </w:p>
    <w:p>
      <w:pPr>
        <w:pStyle w:val="Title"/>
      </w:pPr>
      <w:r>
        <w:t>Evaluation Sets</w:t>
      </w:r>
    </w:p>
    <w:p>
      <w:r>
        <w:t>Project: Verified Study Buddy</w:t>
      </w:r>
    </w:p>
    <w:p>
      <w:pPr>
        <w:pStyle w:val="Heading1"/>
      </w:pPr>
      <w:r>
        <w:t>Before you start</w:t>
      </w:r>
    </w:p>
    <w:p>
      <w:r>
        <w:t>AI-2 Week 11: development and final evaluation need separate cases.</w:t>
      </w:r>
    </w:p>
    <w:p>
      <w:pPr>
        <w:pStyle w:val="Heading1"/>
      </w:pPr>
      <w:r>
        <w:t>01. Your mission</w:t>
      </w:r>
    </w:p>
    <w:p>
      <w:pPr>
        <w:pStyle w:val="Heading3"/>
      </w:pPr>
      <w:r>
        <w:t>Your learning target</w:t>
      </w:r>
    </w:p>
    <w:p>
      <w:r>
        <w:t>I can explain the mechanism and terminology of system evaluation sets.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Quality Rubrics. Give an example and a mistake that the idea helps you avoid.</w:t>
      </w:r>
    </w:p>
    <w:p>
      <w:r>
        <w:t>Without opening the old lesson, explain one key idea from Block to Python Bridge. Give an example and a mistake that the idea helps you avoid.</w:t>
      </w:r>
    </w:p>
    <w:p>
      <w:r>
        <w:t>Without opening the old lesson, explain one key idea from Conversation State and Memory. Give an example and a mistake that the idea helps you avoid.</w:t>
      </w:r>
    </w:p>
    <w:p>
      <w:r>
        <w:t>After trying, check the relevant lesson or ask your teacher. Change the part of your explanation that the evidence shows was wrong.</w:t>
      </w:r>
    </w:p>
    <w:p>
      <w:r>
        <w:t>Week 26: Evaluation Sets</w:t>
      </w:r>
    </w:p>
    <w:p>
      <w:r>
        <w:t>A good eval set represents real use, edge cases, and known risks.</w:t>
      </w:r>
    </w:p>
    <w:p>
      <w:r>
        <w:drawing>
          <wp:inline xmlns:a="http://schemas.openxmlformats.org/drawingml/2006/main" xmlns:pic="http://schemas.openxmlformats.org/drawingml/2006/picture">
            <wp:extent cx="2942705" cy="2942705"/>
            <wp:docPr id="1" name="Picture 1" descr="Week 26 illustration: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r>
        <w:t>CREATOR MISSION</w:t>
      </w:r>
    </w:p>
    <w:p>
      <w:r>
        <w:t>Author ten tests with expected behavior.</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Latency cost and resource use. Explain why a recorded result needs its input conditions and evidence source before it can support a claim.</w:t>
      </w:r>
    </w:p>
    <w:p>
      <w:pPr>
        <w:pStyle w:val="Heading3"/>
      </w:pPr>
      <w:r>
        <w:t>Readiness for Ranking and retrieval evaluation</w:t>
      </w:r>
    </w:p>
    <w:p>
      <w:r>
        <w:t>Recall Lexical and vector retrieval.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evaluation sets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aluation Sets"/>
            <wp:cNvGraphicFramePr>
              <a:graphicFrameLocks noChangeAspect="1"/>
            </wp:cNvGraphicFramePr>
            <a:graphic>
              <a:graphicData uri="http://schemas.openxmlformats.org/drawingml/2006/picture">
                <pic:pic>
                  <pic:nvPicPr>
                    <pic:cNvPr id="0" name="594bcfef70698d41df367bc38f5c6fa7ea6d6ea604bfc913c7338314740040a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evaluation sets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Ranking and retrieval evaluation</w:t>
      </w:r>
    </w:p>
    <w:p>
      <w:r>
        <w:t>A ranking needs task-specific relevance judgments and a declared cutoff. Precision and recall have different denominators.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aluation Sets"/>
            <wp:cNvGraphicFramePr>
              <a:graphicFrameLocks noChangeAspect="1"/>
            </wp:cNvGraphicFramePr>
            <a:graphic>
              <a:graphicData uri="http://schemas.openxmlformats.org/drawingml/2006/picture">
                <pic:pic>
                  <pic:nvPicPr>
                    <pic:cNvPr id="0" name="48ff67940862c681fba501fec901b67e3e588ad757eb7fd0100a4eac4ab7359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valuation Sets"/>
            <wp:cNvGraphicFramePr>
              <a:graphicFrameLocks noChangeAspect="1"/>
            </wp:cNvGraphicFramePr>
            <a:graphic>
              <a:graphicData uri="http://schemas.openxmlformats.org/drawingml/2006/picture">
                <pic:pic>
                  <pic:nvPicPr>
                    <pic:cNvPr id="0" name="c0763e8c04c2d3e9c3902e211e1e0fe2ef3dd6a15552d995cfb2ed1dbf8e866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valuation Sets"/>
            <wp:cNvGraphicFramePr>
              <a:graphicFrameLocks noChangeAspect="1"/>
            </wp:cNvGraphicFramePr>
            <a:graphic>
              <a:graphicData uri="http://schemas.openxmlformats.org/drawingml/2006/picture">
                <pic:pic>
                  <pic:nvPicPr>
                    <pic:cNvPr id="0" name="d34668cc54f458d6145eb13aaf4f7eccb218ba51ae0eff553c692809c6f9081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case ID, evidence version, expected claims or fallback, permitted actions and scoring rubric. Separate development from final cases. Aggregate metrics only after checking required conditions individually.</w:t>
      </w:r>
    </w:p>
    <w:p>
      <w:pPr>
        <w:pStyle w:val="Heading3"/>
      </w:pPr>
      <w:r>
        <w:t>System evaluation sets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cases include six answerable and four missing-evidence cases. System answers five answerable correctly and abstains appropriately on three missing cases.</w:t>
            </w:r>
          </w:p>
        </w:tc>
        <w:tc>
          <w:tcPr>
            <w:tcW w:type="dxa" w:w="3408"/>
          </w:tcPr>
          <w:p>
            <w:r>
              <w:t>Record case ID, evidence version, expected claims or fallback, permitted actions and scoring rubric. Separate development from final cases. Aggregate metrics only after checking required conditions individually.</w:t>
            </w:r>
          </w:p>
        </w:tc>
        <w:tc>
          <w:tcPr>
            <w:tcW w:type="dxa" w:w="3408"/>
          </w:tcPr>
          <w:p>
            <w:r>
              <w:t>Answer correctness 5/6; appropriate fallback 3/4; combined contract passes 8/10 if each case has one required outcome. Different denominators answer different questions.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Ranking and retrieval evaluation</w:t>
      </w:r>
    </w:p>
    <w:p>
      <w:r>
        <w:t>Precision at k is relevant returned items divided by k when exactly k items are returned. Recall at k is relevant returned items divided by all known relevant eligible items. If the relevant set is unknown, do not invent recall.</w:t>
      </w:r>
    </w:p>
    <w:p>
      <w:pPr>
        <w:pStyle w:val="Heading3"/>
      </w:pPr>
      <w:r>
        <w:t>Ranking and retrieval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Relevant documents are A, C, E. Top three results A, B, C contain two relevant items.</w:t>
            </w:r>
          </w:p>
        </w:tc>
        <w:tc>
          <w:tcPr>
            <w:tcW w:type="dxa" w:w="3408"/>
          </w:tcPr>
          <w:p>
            <w:r>
              <w:t>Precision at k is relevant returned items divided by k when exactly k items are returned.</w:t>
            </w:r>
          </w:p>
        </w:tc>
        <w:tc>
          <w:tcPr>
            <w:tcW w:type="dxa" w:w="3408"/>
          </w:tcPr>
          <w:p>
            <w:r>
              <w:t>Precision@3=2/3; recall@3=2/3. Duplicates should not count as distinct retrieved documents.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three missing-evidence cases that all pass.</w:t>
      </w:r>
    </w:p>
    <w:p>
      <w:r>
        <w:t>Prediction: Overall becomes 8/9, but supported answering remains 2/3.</w:t>
      </w:r>
    </w:p>
    <w:p>
      <w:r>
        <w:t>Reason: Changing the case mixture raises the pooled rate without improving any existing answerable result.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valuation set"/>
            <wp:cNvGraphicFramePr>
              <a:graphicFrameLocks noChangeAspect="1"/>
            </wp:cNvGraphicFramePr>
            <a:graphic>
              <a:graphicData uri="http://schemas.openxmlformats.org/drawingml/2006/picture">
                <pic:pic>
                  <pic:nvPicPr>
                    <pic:cNvPr id="0" name="cce16985e5950fbed70301713b57bb9babb7fe9b006f9a3836502c8169841d1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verage"/>
            <wp:cNvGraphicFramePr>
              <a:graphicFrameLocks noChangeAspect="1"/>
            </wp:cNvGraphicFramePr>
            <a:graphic>
              <a:graphicData uri="http://schemas.openxmlformats.org/drawingml/2006/picture">
                <pic:pic>
                  <pic:nvPicPr>
                    <pic:cNvPr id="0" name="d53ede2fa00917151c7749184eae88fa3436735c1b9542690dd5809a432fec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xpected behavior"/>
            <wp:cNvGraphicFramePr>
              <a:graphicFrameLocks noChangeAspect="1"/>
            </wp:cNvGraphicFramePr>
            <a:graphic>
              <a:graphicData uri="http://schemas.openxmlformats.org/drawingml/2006/picture">
                <pic:pic>
                  <pic:nvPicPr>
                    <pic:cNvPr id="0" name="0e6e4dabaf5d7e2a369e3d9f7ac154ae836908b90b37a9374915c4a9c34259d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test"/>
            <wp:cNvGraphicFramePr>
              <a:graphicFrameLocks noChangeAspect="1"/>
            </wp:cNvGraphicFramePr>
            <a:graphic>
              <a:graphicData uri="http://schemas.openxmlformats.org/drawingml/2006/picture">
                <pic:pic>
                  <pic:nvPicPr>
                    <pic:cNvPr id="0" name="a379852fee394048a0192d39546eb5c2befbe8bad10405ce364e5b5b2e50f3d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evaluation set</w:t>
            </w:r>
          </w:p>
        </w:tc>
        <w:tc>
          <w:tcPr>
            <w:tcW w:type="dxa" w:w="3408"/>
          </w:tcPr>
          <w:p>
            <w:r>
              <w:t>Cases used to measure a system under declared criteria; specify whether they are validation or final test cases.</w:t>
            </w:r>
          </w:p>
        </w:tc>
        <w:tc>
          <w:tcPr>
            <w:tcW w:type="dxa" w:w="3408"/>
          </w:tcPr>
          <w:p>
            <w:r/>
          </w:p>
        </w:tc>
      </w:tr>
      <w:tr>
        <w:tc>
          <w:tcPr>
            <w:tcW w:type="dxa" w:w="3408"/>
          </w:tcPr>
          <w:p>
            <w:r>
              <w:t>coverage</w:t>
            </w:r>
          </w:p>
        </w:tc>
        <w:tc>
          <w:tcPr>
            <w:tcW w:type="dxa" w:w="3408"/>
          </w:tcPr>
          <w:p>
            <w:r>
              <w:t>The range of relevant cases, conditions or groups included in data or tests.</w:t>
            </w:r>
          </w:p>
        </w:tc>
        <w:tc>
          <w:tcPr>
            <w:tcW w:type="dxa" w:w="3408"/>
          </w:tcPr>
          <w:p>
            <w:r/>
          </w:p>
        </w:tc>
      </w:tr>
      <w:tr>
        <w:tc>
          <w:tcPr>
            <w:tcW w:type="dxa" w:w="3408"/>
          </w:tcPr>
          <w:p>
            <w:r>
              <w:t>expected behavior</w:t>
            </w:r>
          </w:p>
        </w:tc>
        <w:tc>
          <w:tcPr>
            <w:tcW w:type="dxa" w:w="3408"/>
          </w:tcPr>
          <w:p>
            <w:r>
              <w:t>The result or action required by the specification for a given case, stated before observing the system.</w:t>
            </w:r>
          </w:p>
        </w:tc>
        <w:tc>
          <w:tcPr>
            <w:tcW w:type="dxa" w:w="3408"/>
          </w:tcPr>
          <w:p>
            <w:r/>
          </w:p>
        </w:tc>
      </w:tr>
      <w:tr>
        <w:tc>
          <w:tcPr>
            <w:tcW w:type="dxa" w:w="3408"/>
          </w:tcPr>
          <w:p>
            <w:r>
              <w:t>regression test</w:t>
            </w:r>
          </w:p>
        </w:tc>
        <w:tc>
          <w:tcPr>
            <w:tcW w:type="dxa" w:w="3408"/>
          </w:tcPr>
          <w:p>
            <w:r>
              <w:t>A repeatable check that previously correct behaviour still works after a change.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Contract pass</w:t>
            </w:r>
          </w:p>
        </w:tc>
        <w:tc>
          <w:tcPr>
            <w:tcW w:type="dxa" w:w="5112"/>
          </w:tcPr>
          <w:p>
            <w:r>
              <w:t>Satisfying the declared requirements for one case</w:t>
            </w:r>
          </w:p>
        </w:tc>
      </w:tr>
    </w:tbl>
    <w:p>
      <w:pPr>
        <w:pStyle w:val="Heading3"/>
      </w:pPr>
      <w:r>
        <w:t>Terms for Ranking and retrieval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 at k</w:t>
            </w:r>
          </w:p>
        </w:tc>
        <w:tc>
          <w:tcPr>
            <w:tcW w:type="dxa" w:w="5112"/>
          </w:tcPr>
          <w:p>
            <w:r>
              <w:t>Relevant results among the first k returned items</w:t>
            </w:r>
          </w:p>
        </w:tc>
      </w:tr>
      <w:tr>
        <w:tc>
          <w:tcPr>
            <w:tcW w:type="dxa" w:w="5112"/>
          </w:tcPr>
          <w:p>
            <w:r>
              <w:t>Recall at k</w:t>
            </w:r>
          </w:p>
        </w:tc>
        <w:tc>
          <w:tcPr>
            <w:tcW w:type="dxa" w:w="5112"/>
          </w:tcPr>
          <w:p>
            <w:r>
              <w:t>Fraction of known relevant eligible items found in the first k results</w:t>
            </w:r>
          </w:p>
        </w:tc>
      </w:tr>
      <w:tr>
        <w:tc>
          <w:tcPr>
            <w:tcW w:type="dxa" w:w="5112"/>
          </w:tcPr>
          <w:p>
            <w:r>
              <w:t>Cutoff</w:t>
            </w:r>
          </w:p>
        </w:tc>
        <w:tc>
          <w:tcPr>
            <w:tcW w:type="dxa" w:w="5112"/>
          </w:tcPr>
          <w:p>
            <w:r>
              <w:t>The rank limit used for scoring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valuation Sets"/>
            <wp:cNvGraphicFramePr>
              <a:graphicFrameLocks noChangeAspect="1"/>
            </wp:cNvGraphicFramePr>
            <a:graphic>
              <a:graphicData uri="http://schemas.openxmlformats.org/drawingml/2006/picture">
                <pic:pic>
                  <pic:nvPicPr>
                    <pic:cNvPr id="0" name="0fa277f11fc8e980c96ba4d2e61aba81c8b531b632771868487ec2d5dd5ce06e.png"/>
                    <pic:cNvPicPr/>
                  </pic:nvPicPr>
                  <pic:blipFill>
                    <a:blip r:embed="rId21"/>
                    <a:stretch>
                      <a:fillRect/>
                    </a:stretch>
                  </pic:blipFill>
                  <pic:spPr>
                    <a:xfrm>
                      <a:off x="0" y="0"/>
                      <a:ext cx="5486400" cy="2377440"/>
                    </a:xfrm>
                    <a:prstGeom prst="rect"/>
                  </pic:spPr>
                </pic:pic>
              </a:graphicData>
            </a:graphic>
          </wp:inline>
        </w:drawing>
      </w:r>
    </w:p>
    <w:p>
      <w:r>
        <w:t>1. Ten cases include factual, comparison, calculation, ambiguous, and missing-source questions.</w:t>
      </w:r>
    </w:p>
    <w:p>
      <w:r>
        <w:t>2. Add conflicting-source, prompt-injection, sensitive-data, and accessibility cases.</w:t>
      </w:r>
    </w:p>
    <w:p>
      <w:r>
        <w:t>3. Write expected behavior before running the product.</w:t>
      </w:r>
    </w:p>
    <w:p>
      <w:r>
        <w:t>4. After a repair, keep the failed case as a regression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Ranking and retrieval evaluation</w:t>
      </w:r>
    </w:p>
    <w:p>
      <w:r>
        <w:t>Relevant documents are A, C, E. Top three results A, B, C contain two relevant items.</w:t>
      </w:r>
    </w:p>
    <w:p>
      <w:r>
        <w:t>Precision@3=2/3; recall@3=2/3. Duplicates should not count as distinct retrieved documents.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Sets</w:t>
      </w:r>
    </w:p>
    <w:p>
      <w:r>
        <w:t>Design an evaluation set that checks answering and appropriate uncertainty separately.</w:t>
      </w:r>
    </w:p>
    <w:p>
      <w:pPr>
        <w:pStyle w:val="Heading3"/>
      </w:pPr>
      <w:r>
        <w:t>The facts we will use</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r>
        <w:t>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small constructed set probes specific behaviours; its pooled rate is not an estimate of every future classroom question.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Evaluation Sets"/>
            <wp:cNvGraphicFramePr>
              <a:graphicFrameLocks noChangeAspect="1"/>
            </wp:cNvGraphicFramePr>
            <a:graphic>
              <a:graphicData uri="http://schemas.openxmlformats.org/drawingml/2006/picture">
                <pic:pic>
                  <pic:nvPicPr>
                    <pic:cNvPr id="0" name="23ecc7f1dc160b42f57927aafbe6d47f234d55eb75e560a185056b9202b72a8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valuation Set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Evaluation coverage limits the claim; prompts tuned on these cases need new reserved final cases.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Ranking and retrieval evaluation</w:t>
      </w:r>
    </w:p>
    <w:p>
      <w:r>
        <w:t>Known judgments may be incomplete; a score over one query does not establish coverage over all queries.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“System evaluation sets”.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System evaluation sets.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Ranking and retrieval evaluation</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Did the added cases demonstrate better answering?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valuation Sets"/>
            <wp:cNvGraphicFramePr>
              <a:graphicFrameLocks noChangeAspect="1"/>
            </wp:cNvGraphicFramePr>
            <a:graphic>
              <a:graphicData uri="http://schemas.openxmlformats.org/drawingml/2006/picture">
                <pic:pic>
                  <pic:nvPicPr>
                    <pic:cNvPr id="0" name="0f89197f4c4fefcedcad0b89ead7d05cba562a272cea05df36fce37ec94a9fbc.png"/>
                    <pic:cNvPicPr/>
                  </pic:nvPicPr>
                  <pic:blipFill>
                    <a:blip r:embed="rId25"/>
                    <a:stretch>
                      <a:fillRect/>
                    </a:stretch>
                  </pic:blipFill>
                  <pic:spPr>
                    <a:xfrm>
                      <a:off x="0" y="0"/>
                      <a:ext cx="5486400" cy="1901952"/>
                    </a:xfrm>
                    <a:prstGeom prst="rect"/>
                  </pic:spPr>
                </pic:pic>
              </a:graphicData>
            </a:graphic>
          </wp:inline>
        </w:drawing>
      </w:r>
    </w:p>
    <w:p>
      <w:r>
        <w:t>Map user tasks and risks, author ten labeled cases, peer-audit missing coverage, then freeze expected behaviors.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Evaluation Set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valuation Sets"/>
            <wp:cNvGraphicFramePr>
              <a:graphicFrameLocks noChangeAspect="1"/>
            </wp:cNvGraphicFramePr>
            <a:graphic>
              <a:graphicData uri="http://schemas.openxmlformats.org/drawingml/2006/picture">
                <pic:pic>
                  <pic:nvPicPr>
                    <pic:cNvPr id="0" name="da4a2fcbc6cfd3b65d400c0d55cf0faa34692173a5f661240b923ffeec11cf20.png"/>
                    <pic:cNvPicPr/>
                  </pic:nvPicPr>
                  <pic:blipFill>
                    <a:blip r:embed="rId27"/>
                    <a:stretch>
                      <a:fillRect/>
                    </a:stretch>
                  </pic:blipFill>
                  <pic:spPr>
                    <a:xfrm>
                      <a:off x="0" y="0"/>
                      <a:ext cx="5486400" cy="1901952"/>
                    </a:xfrm>
                    <a:prstGeom prst="rect"/>
                  </pic:spPr>
                </pic:pic>
              </a:graphicData>
            </a:graphic>
          </wp:inline>
        </w:drawing>
      </w:r>
    </w:p>
    <w:p>
      <w:r>
        <w:t>THIS WEEK’S CHECKPOINT  Maintain a balanced eval set covering utility, grounding, format, privacy, and safety.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valuation Sets"/>
            <wp:cNvGraphicFramePr>
              <a:graphicFrameLocks noChangeAspect="1"/>
            </wp:cNvGraphicFramePr>
            <a:graphic>
              <a:graphicData uri="http://schemas.openxmlformats.org/drawingml/2006/picture">
                <pic:pic>
                  <pic:nvPicPr>
                    <pic:cNvPr id="0" name="9a565232ca6c5ed842872d18499edd763bdab28067e38f7b2e32f1bbb6955cef.png"/>
                    <pic:cNvPicPr/>
                  </pic:nvPicPr>
                  <pic:blipFill>
                    <a:blip r:embed="rId28"/>
                    <a:stretch>
                      <a:fillRect/>
                    </a:stretch>
                  </pic:blipFill>
                  <pic:spPr>
                    <a:xfrm>
                      <a:off x="0" y="0"/>
                      <a:ext cx="5486400" cy="1901952"/>
                    </a:xfrm>
                    <a:prstGeom prst="rect"/>
                  </pic:spPr>
                </pic:pic>
              </a:graphicData>
            </a:graphic>
          </wp:inline>
        </w:drawing>
      </w:r>
    </w:p>
    <w:p>
      <w:r>
        <w:t>CHALLENGE  Author ten tests with expected behavior.</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Ten evaluation questions are easy definitions; none lacks a source.</w:t>
      </w:r>
    </w:p>
    <w:p>
      <w:pPr>
        <w:pStyle w:val="Heading3"/>
      </w:pPr>
      <w:r>
        <w:t>The question</w:t>
      </w:r>
    </w:p>
    <w:p>
      <w:r>
        <w:t>What is untested?</w:t>
      </w:r>
    </w:p>
    <w:p>
      <w:pPr>
        <w:pStyle w:val="Heading3"/>
      </w:pPr>
      <w:r>
        <w:t>Worked explanation</w:t>
      </w:r>
    </w:p>
    <w:p>
      <w:r>
        <w:t>Absent evidence, ambiguity and boundary handling. Add predefined fallback cases and keep final cases separate from tuning.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Empty evaluation categories reveal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Easy definitions</w:t>
            </w:r>
          </w:p>
        </w:tc>
        <w:tc>
          <w:tcPr>
            <w:tcW w:type="dxa" w:w="5112"/>
          </w:tcPr>
          <w:p>
            <w:r>
              <w:t>10</w:t>
            </w:r>
          </w:p>
        </w:tc>
      </w:tr>
      <w:tr>
        <w:tc>
          <w:tcPr>
            <w:tcW w:type="dxa" w:w="5112"/>
          </w:tcPr>
          <w:p>
            <w:r>
              <w:t>Absent evidence</w:t>
            </w:r>
          </w:p>
        </w:tc>
        <w:tc>
          <w:tcPr>
            <w:tcW w:type="dxa" w:w="5112"/>
          </w:tcPr>
          <w:p>
            <w:r>
              <w:t>0</w:t>
            </w:r>
          </w:p>
        </w:tc>
      </w:tr>
      <w:tr>
        <w:tc>
          <w:tcPr>
            <w:tcW w:type="dxa" w:w="5112"/>
          </w:tcPr>
          <w:p>
            <w:r>
              <w:t>Ambiguity</w:t>
            </w:r>
          </w:p>
        </w:tc>
        <w:tc>
          <w:tcPr>
            <w:tcW w:type="dxa" w:w="5112"/>
          </w:tcPr>
          <w:p>
            <w:r>
              <w:t>0</w:t>
            </w:r>
          </w:p>
        </w:tc>
      </w:tr>
      <w:tr>
        <w:tc>
          <w:tcPr>
            <w:tcW w:type="dxa" w:w="5112"/>
          </w:tcPr>
          <w:p>
            <w:r>
              <w:t>Boundary handling</w:t>
            </w:r>
          </w:p>
        </w:tc>
        <w:tc>
          <w:tcPr>
            <w:tcW w:type="dxa" w:w="5112"/>
          </w:tcPr>
          <w:p>
            <w:r>
              <w:t>0</w:t>
            </w:r>
          </w:p>
        </w:tc>
      </w:tr>
    </w:tbl>
    <w:p>
      <w:r>
        <w:t>Ten evaluation questions are easy definitions; none lacks a source.</w:t>
      </w:r>
    </w:p>
    <w:p>
      <w:r>
        <w:t>What is untested?</w:t>
      </w:r>
    </w:p>
    <w:p>
      <w:r>
        <w:t>Absent evidence, ambiguity and boundary handling. Add predefined fallback cases and keep final cases separate from tuning.</w:t>
      </w:r>
    </w:p>
    <w:p>
      <w:pPr>
        <w:pStyle w:val="Heading1"/>
      </w:pPr>
      <w:r>
        <w:t>14. Try a new case independently</w:t>
      </w:r>
    </w:p>
    <w:p>
      <w:pPr>
        <w:pStyle w:val="Heading3"/>
      </w:pPr>
      <w:r>
        <w:t>Independent case: Changed independent case</w:t>
      </w:r>
    </w:p>
    <w:p>
      <w: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You improve a prompt after reading every test question. Can those questions still provide an untouched final evaluation? Propose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Maintain a balanced eval set covering utility, grounding, format, privacy, and safety.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test set contains ten easy questions with direct answers in the notes. Add three different kinds of cases that probe fallback behaviour and define expected outcomes.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