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ai-4/7</w:t>
      </w:r>
    </w:p>
    <w:p>
      <w:pPr>
        <w:pStyle w:val="Title"/>
      </w:pPr>
      <w:r>
        <w:t>Sampling and Intended Use</w:t>
      </w:r>
    </w:p>
    <w:p>
      <w:r>
        <w:t>Project: Responsible Plant Classifier</w:t>
      </w:r>
    </w:p>
    <w:p>
      <w:pPr>
        <w:pStyle w:val="Heading1"/>
      </w:pPr>
      <w:r>
        <w:t>Before you start</w:t>
      </w:r>
    </w:p>
    <w:p>
      <w:r>
        <w:t>AI-2 Week 19: compare the sample with the intended population.</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Label Quality. Give an example and a mistake that the idea helps you avoid.</w:t>
      </w:r>
    </w:p>
    <w:p>
      <w:r>
        <w:t>Without opening the old lesson, explain one key idea from Python and Table Readiness. Give an example and a mistake that the idea helps you avoid.</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Training examples should represent the people, objects, conditions, and devices described by the intended-use statement.</w:t>
      </w:r>
    </w:p>
    <w:p>
      <w:r>
        <w:drawing>
          <wp:inline xmlns:a="http://schemas.openxmlformats.org/drawingml/2006/main" xmlns:pic="http://schemas.openxmlformats.org/drawingml/2006/picture">
            <wp:extent cx="2942705" cy="2942705"/>
            <wp:docPr id="1" name="Picture 1"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r>
        <w:t>LEARNING TARGET  Training uses indoor photos from one phone; deployment uses outdoor photos from several phones. Specify two evaluation slices and explain why adding more indoor photos may not resolve the gap.</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This week’s end goal</w:t>
      </w:r>
    </w:p>
    <w:p>
      <w:r>
        <w:t>By the end, I can explain sampling and intended use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r>
        <w:t>MYSTERY  The team must use sampling and intended use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7 machine-learning flow stage 1"/>
            <wp:cNvGraphicFramePr>
              <a:graphicFrameLocks noChangeAspect="1"/>
            </wp:cNvGraphicFramePr>
            <a:graphic>
              <a:graphicData uri="http://schemas.openxmlformats.org/drawingml/2006/picture">
                <pic:pic>
                  <pic:nvPicPr>
                    <pic:cNvPr id="0" name="8c6402f5c6fd1363213635666e51719d69a658a4fd94416e1a62f212f1e9a2c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7 machine-learning flow stage 2"/>
            <wp:cNvGraphicFramePr>
              <a:graphicFrameLocks noChangeAspect="1"/>
            </wp:cNvGraphicFramePr>
            <a:graphic>
              <a:graphicData uri="http://schemas.openxmlformats.org/drawingml/2006/picture">
                <pic:pic>
                  <pic:nvPicPr>
                    <pic:cNvPr id="0" name="975b5e32df57a58c0920d5b4784ada2906231229cc08360990f3b929f932787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7 machine-learning flow stage 3"/>
            <wp:cNvGraphicFramePr>
              <a:graphicFrameLocks noChangeAspect="1"/>
            </wp:cNvGraphicFramePr>
            <a:graphic>
              <a:graphicData uri="http://schemas.openxmlformats.org/drawingml/2006/picture">
                <pic:pic>
                  <pic:nvPicPr>
                    <pic:cNvPr id="0" name="2c013634500a13f6296bdd81d13ca008779e0851adce1c7eedc5dba843a74ed8.png"/>
                    <pic:cNvPicPr/>
                  </pic:nvPicPr>
                  <pic:blipFill>
                    <a:blip r:embed="rId12"/>
                    <a:stretch>
                      <a:fillRect/>
                    </a:stretch>
                  </pic:blipFill>
                  <pic:spPr>
                    <a:xfrm>
                      <a:off x="0" y="0"/>
                      <a:ext cx="5237018" cy="3200400"/>
                    </a:xfrm>
                    <a:prstGeom prst="rect"/>
                  </pic:spPr>
                </pic:pic>
              </a:graphicData>
            </a:graphic>
          </wp:inline>
        </w:drawing>
      </w:r>
    </w:p>
    <w:p>
      <w:r>
        <w:t>QUESTION  Compare two samples against a deployment population and identify missing conditions.</w:t>
      </w:r>
    </w:p>
    <w:p>
      <w:r>
        <w:t>MODEL IDEA  Training examples should represent the people, objects, conditions, and devices described by the intended-use statement.</w:t>
      </w:r>
    </w:p>
    <w:p>
      <w:r>
        <w:t>PROOF NEEDED  Use an unseen case, visible calculation, error analysis, and a stated limitation.</w:t>
      </w:r>
    </w:p>
    <w:p>
      <w:r>
        <w:t>UNDER THE HOOD  Intended use includes indoor classroom plants under day and evening light. Sample A has 90% daylight photos from one camera.</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Collect 12 more midday windowsill photos of the same plants.</w:t>
      </w:r>
    </w:p>
    <w:p>
      <w:r>
        <w:t>Prediction: The evening-coverage gap remains.</w:t>
      </w:r>
    </w:p>
    <w:p>
      <w:r>
        <w:t>Reason: More rows in the same condition do not supply evidence about the missing condition.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opulation, full group the product may encounter"/>
            <wp:cNvGraphicFramePr>
              <a:graphicFrameLocks noChangeAspect="1"/>
            </wp:cNvGraphicFramePr>
            <a:graphic>
              <a:graphicData uri="http://schemas.openxmlformats.org/drawingml/2006/picture">
                <pic:pic>
                  <pic:nvPicPr>
                    <pic:cNvPr id="0" name="a1e8e9efeca7acb3a1f6b200fc46d7ac8294fdf52fd9348e6c062eaee1fb14e6.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sample, examples selected from that population"/>
            <wp:cNvGraphicFramePr>
              <a:graphicFrameLocks noChangeAspect="1"/>
            </wp:cNvGraphicFramePr>
            <a:graphic>
              <a:graphicData uri="http://schemas.openxmlformats.org/drawingml/2006/picture">
                <pic:pic>
                  <pic:nvPicPr>
                    <pic:cNvPr id="0" name="704d06d6012760f43442594c1d406f08be95649208a7202d41954b1fb07f8d3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epresentation, coverage of relevant conditions"/>
            <wp:cNvGraphicFramePr>
              <a:graphicFrameLocks noChangeAspect="1"/>
            </wp:cNvGraphicFramePr>
            <a:graphic>
              <a:graphicData uri="http://schemas.openxmlformats.org/drawingml/2006/picture">
                <pic:pic>
                  <pic:nvPicPr>
                    <pic:cNvPr id="0" name="ca07e2a271c48f2145e2ffdb5e20bdcb615b9f36eb930eea0c42fcbbf941260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tended use, specific approved purpose and setting"/>
            <wp:cNvGraphicFramePr>
              <a:graphicFrameLocks noChangeAspect="1"/>
            </wp:cNvGraphicFramePr>
            <a:graphic>
              <a:graphicData uri="http://schemas.openxmlformats.org/drawingml/2006/picture">
                <pic:pic>
                  <pic:nvPicPr>
                    <pic:cNvPr id="0" name="eb88708a7fb39353acf12fc04f13c5dcb88d1f1554e4b30fdfb4a68e7ae3678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population</w:t>
            </w:r>
          </w:p>
        </w:tc>
        <w:tc>
          <w:tcPr>
            <w:tcW w:type="dxa" w:w="3408"/>
          </w:tcPr>
          <w:p>
            <w:r>
              <w:t>full group the product may encounter</w:t>
            </w:r>
          </w:p>
        </w:tc>
        <w:tc>
          <w:tcPr>
            <w:tcW w:type="dxa" w:w="3408"/>
          </w:tcPr>
          <w:p>
            <w:r/>
          </w:p>
        </w:tc>
      </w:tr>
      <w:tr>
        <w:tc>
          <w:tcPr>
            <w:tcW w:type="dxa" w:w="3408"/>
          </w:tcPr>
          <w:p>
            <w:r>
              <w:t>sample</w:t>
            </w:r>
          </w:p>
        </w:tc>
        <w:tc>
          <w:tcPr>
            <w:tcW w:type="dxa" w:w="3408"/>
          </w:tcPr>
          <w:p>
            <w:r>
              <w:t>examples selected from that population</w:t>
            </w:r>
          </w:p>
        </w:tc>
        <w:tc>
          <w:tcPr>
            <w:tcW w:type="dxa" w:w="3408"/>
          </w:tcPr>
          <w:p>
            <w:r/>
          </w:p>
        </w:tc>
      </w:tr>
      <w:tr>
        <w:tc>
          <w:tcPr>
            <w:tcW w:type="dxa" w:w="3408"/>
          </w:tcPr>
          <w:p>
            <w:r>
              <w:t>representation</w:t>
            </w:r>
          </w:p>
        </w:tc>
        <w:tc>
          <w:tcPr>
            <w:tcW w:type="dxa" w:w="3408"/>
          </w:tcPr>
          <w:p>
            <w:r>
              <w:t>coverage of relevant conditions</w:t>
            </w:r>
          </w:p>
        </w:tc>
        <w:tc>
          <w:tcPr>
            <w:tcW w:type="dxa" w:w="3408"/>
          </w:tcPr>
          <w:p>
            <w:r/>
          </w:p>
        </w:tc>
      </w:tr>
      <w:tr>
        <w:tc>
          <w:tcPr>
            <w:tcW w:type="dxa" w:w="3408"/>
          </w:tcPr>
          <w:p>
            <w:r>
              <w:t>intended use</w:t>
            </w:r>
          </w:p>
        </w:tc>
        <w:tc>
          <w:tcPr>
            <w:tcW w:type="dxa" w:w="3408"/>
          </w:tcPr>
          <w:p>
            <w:r>
              <w:t>specific approved purpose and setting</w:t>
            </w:r>
          </w:p>
        </w:tc>
        <w:tc>
          <w:tcPr>
            <w:tcW w:type="dxa" w:w="3408"/>
          </w:tcPr>
          <w:p>
            <w:r/>
          </w:p>
        </w:tc>
      </w:tr>
    </w:tbl>
    <w:p>
      <w:r>
        <w:t>MISCONCEPTION TO REPAIR  A large dataset is representative simply because it contains many examples.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7: Sampling and Intended Use"/>
            <wp:cNvGraphicFramePr>
              <a:graphicFrameLocks noChangeAspect="1"/>
            </wp:cNvGraphicFramePr>
            <a:graphic>
              <a:graphicData uri="http://schemas.openxmlformats.org/drawingml/2006/picture">
                <pic:pic>
                  <pic:nvPicPr>
                    <pic:cNvPr id="0" name="9540810dc0635d86ec326576e5f4925f6e6b4cd5a355f5573105a9aa01521b41.png"/>
                    <pic:cNvPicPr/>
                  </pic:nvPicPr>
                  <pic:blipFill>
                    <a:blip r:embed="rId21"/>
                    <a:stretch>
                      <a:fillRect/>
                    </a:stretch>
                  </pic:blipFill>
                  <pic:spPr>
                    <a:xfrm>
                      <a:off x="0" y="0"/>
                      <a:ext cx="5486400" cy="2523744"/>
                    </a:xfrm>
                    <a:prstGeom prst="rect"/>
                  </pic:spPr>
                </pic:pic>
              </a:graphicData>
            </a:graphic>
          </wp:inline>
        </w:drawing>
      </w:r>
    </w:p>
    <w:p>
      <w:r>
        <w:t>STEP 1  Intended use includes indoor classroom plants under day and evening light.</w:t>
      </w:r>
    </w:p>
    <w:p>
      <w:r>
        <w:t>STEP 2  Sample A has 90% daylight photos from one camera.</w:t>
      </w:r>
    </w:p>
    <w:p>
      <w:r>
        <w:t>STEP 3  Sample B balances lighting, camera distance, and several plant types.</w:t>
      </w:r>
    </w:p>
    <w:p>
      <w:r>
        <w:t>STEP 4  Prefer B for this use, while documenting remaining gaps rather than claiming universal coverage.</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Intended Use</w:t>
      </w:r>
    </w:p>
    <w:p>
      <w:r>
        <w:t>Sample for the conditions in which the plant classifier will actually be used.</w:t>
      </w:r>
    </w:p>
    <w:p>
      <w:pPr>
        <w:pStyle w:val="Heading3"/>
      </w:pPr>
      <w:r>
        <w:t>The facts we will use</w:t>
      </w:r>
    </w:p>
    <w:p>
      <w:r>
        <w:t>Training set: 12 windowsill plants photographed at midday. Intended use includes evening desk photos; no evening examples have been collected.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pStyle w:val="Heading3"/>
      </w:pPr>
      <w:r>
        <w:t>Why this result follows</w:t>
      </w:r>
    </w:p>
    <w:p>
      <w:r>
        <w:t>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Condition coverage reduces a known gap but does not guarantee accuracy; test the selected model on fresh intended-use examples.</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7"/>
            <wp:cNvGraphicFramePr>
              <a:graphicFrameLocks noChangeAspect="1"/>
            </wp:cNvGraphicFramePr>
            <a:graphic>
              <a:graphicData uri="http://schemas.openxmlformats.org/drawingml/2006/picture">
                <pic:pic>
                  <pic:nvPicPr>
                    <pic:cNvPr id="0" name="a97714ff82998d82ad17530337021c00323652437a7b7fbe39e9f9af52b1d4b3.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large dataset is representative simply because it contains many examples.</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collection would address the intended-use gap most directly?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7"/>
            <wp:cNvGraphicFramePr>
              <a:graphicFrameLocks noChangeAspect="1"/>
            </wp:cNvGraphicFramePr>
            <a:graphic>
              <a:graphicData uri="http://schemas.openxmlformats.org/drawingml/2006/picture">
                <pic:pic>
                  <pic:nvPicPr>
                    <pic:cNvPr id="0" name="291f6f8f69967d3f14ab05f04b1a46235b8bbd069cb6bce7b6dc03007d08ea9e.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Sampling Audit: compare condition percentages, map them to intended use, and propose the smallest justified collection plan.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population, sample, representation, intended use.</w:t>
      </w:r>
    </w:p>
    <w:p>
      <w:r>
        <w:t>CALCULATE  Reproduce the worked evidence with units and denominator.</w:t>
      </w:r>
    </w:p>
    <w:p>
      <w:r>
        <w:t>TRACE  Explain the data, code or decision path.</w:t>
      </w:r>
    </w:p>
    <w:p>
      <w:r>
        <w:t>DIAGNOSE  A large dataset is representative simply because it contains many examples.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7"/>
            <wp:cNvGraphicFramePr>
              <a:graphicFrameLocks noChangeAspect="1"/>
            </wp:cNvGraphicFramePr>
            <a:graphic>
              <a:graphicData uri="http://schemas.openxmlformats.org/drawingml/2006/picture">
                <pic:pic>
                  <pic:nvPicPr>
                    <pic:cNvPr id="0" name="9c0dfc8f70a0c7bb03f8da1220ceca2bc871957d4b89e9b3550015fb47bf4dc3.png"/>
                    <pic:cNvPicPr/>
                  </pic:nvPicPr>
                  <pic:blipFill>
                    <a:blip r:embed="rId27"/>
                    <a:stretch>
                      <a:fillRect/>
                    </a:stretch>
                  </pic:blipFill>
                  <pic:spPr>
                    <a:xfrm>
                      <a:off x="0" y="0"/>
                      <a:ext cx="5486400" cy="2048256"/>
                    </a:xfrm>
                    <a:prstGeom prst="rect"/>
                  </pic:spPr>
                </pic:pic>
              </a:graphicData>
            </a:graphic>
          </wp:inline>
        </w:drawing>
      </w:r>
    </w:p>
    <w:p>
      <w:r>
        <w:t>THIS WEEK'S CHECKPOINT  Freeze the Plant Classifier intended-use statement and a coverage table for species, lighting, camera, and health class.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7"/>
            <wp:cNvGraphicFramePr>
              <a:graphicFrameLocks noChangeAspect="1"/>
            </wp:cNvGraphicFramePr>
            <a:graphic>
              <a:graphicData uri="http://schemas.openxmlformats.org/drawingml/2006/picture">
                <pic:pic>
                  <pic:nvPicPr>
                    <pic:cNvPr id="0" name="1174fc8c6b827f750a566998aab161131f7a07b64248156b3620234137db9de9.png"/>
                    <pic:cNvPicPr/>
                  </pic:nvPicPr>
                  <pic:blipFill>
                    <a:blip r:embed="rId28"/>
                    <a:stretch>
                      <a:fillRect/>
                    </a:stretch>
                  </pic:blipFill>
                  <pic:spPr>
                    <a:xfrm>
                      <a:off x="0" y="0"/>
                      <a:ext cx="5486400" cy="2048256"/>
                    </a:xfrm>
                    <a:prstGeom prst="rect"/>
                  </pic:spPr>
                </pic:pic>
              </a:graphicData>
            </a:graphic>
          </wp:inline>
        </w:drawing>
      </w:r>
    </w:p>
    <w:p>
      <w:r>
        <w:t>REQUIRED PROOF  Compare two samples against a deployment population and identify missing conditions.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Leakage.</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Training photos use indoor white backgrounds; intended use is outdoors.</w:t>
      </w:r>
    </w:p>
    <w:p>
      <w:pPr>
        <w:pStyle w:val="Heading3"/>
      </w:pPr>
      <w:r>
        <w:t>The question</w:t>
      </w:r>
    </w:p>
    <w:p>
      <w:r>
        <w:t>Identify the coverage gap.</w:t>
      </w:r>
    </w:p>
    <w:p>
      <w:pPr>
        <w:pStyle w:val="Heading3"/>
      </w:pPr>
      <w:r>
        <w:t>Worked explanation</w:t>
      </w:r>
    </w:p>
    <w:p>
      <w:r>
        <w:t>Lighting, background and device conditions may differ. Collect representative examples and evaluate outdoor slices separately.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Match data coverage to intended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Indoor white backgrounds</w:t>
            </w:r>
          </w:p>
        </w:tc>
      </w:tr>
      <w:tr>
        <w:tc>
          <w:tcPr>
            <w:tcW w:type="dxa" w:w="5112"/>
          </w:tcPr>
          <w:p>
            <w:r>
              <w:t>Intended use</w:t>
            </w:r>
          </w:p>
        </w:tc>
        <w:tc>
          <w:tcPr>
            <w:tcW w:type="dxa" w:w="5112"/>
          </w:tcPr>
          <w:p>
            <w:r>
              <w:t>Outdoor plants</w:t>
            </w:r>
          </w:p>
        </w:tc>
      </w:tr>
      <w:tr>
        <w:tc>
          <w:tcPr>
            <w:tcW w:type="dxa" w:w="5112"/>
          </w:tcPr>
          <w:p>
            <w:r>
              <w:t>Possible shift</w:t>
            </w:r>
          </w:p>
        </w:tc>
        <w:tc>
          <w:tcPr>
            <w:tcW w:type="dxa" w:w="5112"/>
          </w:tcPr>
          <w:p>
            <w:r>
              <w:t>Lighting, background and device</w:t>
            </w:r>
          </w:p>
        </w:tc>
      </w:tr>
      <w:tr>
        <w:tc>
          <w:tcPr>
            <w:tcW w:type="dxa" w:w="5112"/>
          </w:tcPr>
          <w:p>
            <w:r>
              <w:t>Evaluation</w:t>
            </w:r>
          </w:p>
        </w:tc>
        <w:tc>
          <w:tcPr>
            <w:tcW w:type="dxa" w:w="5112"/>
          </w:tcPr>
          <w:p>
            <w:r>
              <w:t>Inspect outdoor cases separately</w:t>
            </w:r>
          </w:p>
        </w:tc>
      </w:tr>
    </w:tbl>
    <w:p>
      <w:r>
        <w:t>Training photos use indoor white backgrounds; intended use is outdoors.</w:t>
      </w:r>
    </w:p>
    <w:p>
      <w:r>
        <w:t>Identify the coverage gap.</w:t>
      </w:r>
    </w:p>
    <w:p>
      <w:r>
        <w:t>Lighting, background and device conditions may differ. Collect representative examples and evaluate outdoor slices separately.</w:t>
      </w:r>
    </w:p>
    <w:p>
      <w:pPr>
        <w:pStyle w:val="Heading1"/>
      </w:pPr>
      <w:r>
        <w:t>14. Try a new case independently</w:t>
      </w:r>
    </w:p>
    <w:p>
      <w:pPr>
        <w:pStyle w:val="Heading3"/>
      </w:pPr>
      <w:r>
        <w:t>Independent case: Changed independent case</w:t>
      </w:r>
    </w:p>
    <w:p>
      <w:r>
        <w:t>Training plant photos are all indoors on one phone. Intended use includes outdoor photos on other cameras. Plan a sampling check before making a general accuracy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Training photographs all show mature plants in bright light, but intended users photograph seedlings indoors. What claim is unsupported and what data is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Plant Classifier intended-use statement and a coverage table for species, lighting, camera, and health class.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uses indoor photos from one phone; deployment uses outdoor photos from several phones. Specify two evaluation slices and explain why adding more indoor photos may not resolve the gap.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