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ai-4/32</w:t>
      </w:r>
    </w:p>
    <w:p>
      <w:pPr>
        <w:pStyle w:val="Title"/>
      </w:pPr>
      <w:r>
        <w:t>Proxy Features and Fairness</w:t>
      </w:r>
    </w:p>
    <w:p>
      <w:r>
        <w:t>Project: Responsible Plant Classifier</w:t>
      </w:r>
    </w:p>
    <w:p>
      <w:pPr>
        <w:pStyle w:val="Heading1"/>
      </w:pPr>
      <w:r>
        <w:t>Before you start</w:t>
      </w:r>
    </w:p>
    <w:p>
      <w:r>
        <w:t>Week 30: a shortcut can correlate with labels without representing the intended concept.</w:t>
      </w:r>
    </w:p>
    <w:p>
      <w:pPr>
        <w:pStyle w:val="Heading1"/>
      </w:pPr>
      <w:r>
        <w:t>01. Your mission</w:t>
      </w:r>
    </w:p>
    <w:p>
      <w:pPr>
        <w:pStyle w:val="Heading3"/>
      </w:pPr>
      <w:r>
        <w:t>Your learning target</w:t>
      </w:r>
    </w:p>
    <w:p>
      <w:r>
        <w:t>I can identify possible proxy features.</w:t>
      </w:r>
    </w:p>
    <w:p>
      <w:r>
        <w:t>I can explain why removing one field does not guarantee fairness.</w:t>
      </w:r>
    </w:p>
    <w:p>
      <w:r>
        <w:t>I can propose a contextual review with concrete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Subgroup Performance. Give an example and a mistake that the idea helps you avoid.</w:t>
      </w:r>
    </w:p>
    <w:p>
      <w:r>
        <w:t>Without opening the old lesson, explain one key idea from Feature Engineering. Give an example and a mistake that the idea helps you avoid.</w:t>
      </w:r>
    </w:p>
    <w:p>
      <w:r>
        <w:t>Without opening the old lesson, explain one key idea from Reproducible Experiments. Give an example and a mistake that the idea helps you avoid.</w:t>
      </w:r>
    </w:p>
    <w:p>
      <w:r>
        <w:t>After trying, check the relevant lesson or ask your teacher. Change the part of your explanation that the evidence shows was wrong.</w:t>
      </w:r>
    </w:p>
    <w:p>
      <w:r>
        <w:t>A feature may indirectly encode sensitive identity or context, creating unjustified differences even when the original field is absent.</w:t>
      </w:r>
    </w:p>
    <w:p>
      <w:r>
        <w:drawing>
          <wp:inline xmlns:a="http://schemas.openxmlformats.org/drawingml/2006/main" xmlns:pic="http://schemas.openxmlformats.org/drawingml/2006/picture">
            <wp:extent cx="2942705" cy="2942705"/>
            <wp:docPr id="1" name="Picture 1"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LEARNING TARGET  A leaf model performs well using location ID alone. Explain a possible proxy problem and design a diagnostic evaluation.</w:t>
      </w:r>
    </w:p>
    <w:p>
      <w:r>
        <w:t>Builder name and experiment date:</w:t>
      </w:r>
    </w:p>
    <w:p>
      <w:pPr>
        <w:pStyle w:val="Heading3"/>
      </w:pPr>
      <w:r>
        <w:t>Readiness for the connected explanation</w:t>
      </w:r>
    </w:p>
    <w:p>
      <w:r>
        <w:t>Does equal overall accuracy prove fair treatment?</w:t>
      </w:r>
    </w:p>
    <w:p>
      <w:pPr>
        <w:pStyle w:val="Heading3"/>
      </w:pPr>
      <w:r>
        <w:t>This week’s end goal</w:t>
      </w:r>
    </w:p>
    <w:p>
      <w:r>
        <w:t>By the end, I can explain proxy features and fairness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MYSTERY  The team must use proxy features and fairness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2 machine-learning flow stage 1"/>
            <wp:cNvGraphicFramePr>
              <a:graphicFrameLocks noChangeAspect="1"/>
            </wp:cNvGraphicFramePr>
            <a:graphic>
              <a:graphicData uri="http://schemas.openxmlformats.org/drawingml/2006/picture">
                <pic:pic>
                  <pic:nvPicPr>
                    <pic:cNvPr id="0" name="43fe6dfa7a0d8746e7f234cf75e8b33b89595f387d40e1824ab477d9648b0d7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2 machine-learning flow stage 2"/>
            <wp:cNvGraphicFramePr>
              <a:graphicFrameLocks noChangeAspect="1"/>
            </wp:cNvGraphicFramePr>
            <a:graphic>
              <a:graphicData uri="http://schemas.openxmlformats.org/drawingml/2006/picture">
                <pic:pic>
                  <pic:nvPicPr>
                    <pic:cNvPr id="0" name="714a1b1fdb24d115a552dac78235567d46df9209d0e37d8f0a85c88425b1e83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2 machine-learning flow stage 3"/>
            <wp:cNvGraphicFramePr>
              <a:graphicFrameLocks noChangeAspect="1"/>
            </wp:cNvGraphicFramePr>
            <a:graphic>
              <a:graphicData uri="http://schemas.openxmlformats.org/drawingml/2006/picture">
                <pic:pic>
                  <pic:nvPicPr>
                    <pic:cNvPr id="0" name="fb15514e51f8baf8d9bf3dd16218f47291ffc7406370427b9fd613d2b0d4e4bf.png"/>
                    <pic:cNvPicPr/>
                  </pic:nvPicPr>
                  <pic:blipFill>
                    <a:blip r:embed="rId12"/>
                    <a:stretch>
                      <a:fillRect/>
                    </a:stretch>
                  </pic:blipFill>
                  <pic:spPr>
                    <a:xfrm>
                      <a:off x="0" y="0"/>
                      <a:ext cx="5237018" cy="3200400"/>
                    </a:xfrm>
                    <a:prstGeom prst="rect"/>
                  </pic:spPr>
                </pic:pic>
              </a:graphicData>
            </a:graphic>
          </wp:inline>
        </w:drawing>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pPr>
        <w:pStyle w:val="Heading3"/>
      </w:pPr>
      <w:r>
        <w:t>A closer explanation</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roxy feature, input correlated with another sensitive attribute"/>
            <wp:cNvGraphicFramePr>
              <a:graphicFrameLocks noChangeAspect="1"/>
            </wp:cNvGraphicFramePr>
            <a:graphic>
              <a:graphicData uri="http://schemas.openxmlformats.org/drawingml/2006/picture">
                <pic:pic>
                  <pic:nvPicPr>
                    <pic:cNvPr id="0" name="83194224ad552cda20a5caeb926e41c3ee1ab1f442a3841ef640ef6033596ca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rness, evaluate benefits and harms across affected groups"/>
            <wp:cNvGraphicFramePr>
              <a:graphicFrameLocks noChangeAspect="1"/>
            </wp:cNvGraphicFramePr>
            <a:graphic>
              <a:graphicData uri="http://schemas.openxmlformats.org/drawingml/2006/picture">
                <pic:pic>
                  <pic:nvPicPr>
                    <pic:cNvPr id="0" name="b0681b80db59d3c20e980f42cc7923d45032de1475751b33fe17378d6819210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aired test, cases differing in one relevant factor"/>
            <wp:cNvGraphicFramePr>
              <a:graphicFrameLocks noChangeAspect="1"/>
            </wp:cNvGraphicFramePr>
            <a:graphic>
              <a:graphicData uri="http://schemas.openxmlformats.org/drawingml/2006/picture">
                <pic:pic>
                  <pic:nvPicPr>
                    <pic:cNvPr id="0" name="d939f62ce568424186bf3933627e0b6958a5e03a780b065c7222d3176e4d84b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tigation, control reducing an identified risk"/>
            <wp:cNvGraphicFramePr>
              <a:graphicFrameLocks noChangeAspect="1"/>
            </wp:cNvGraphicFramePr>
            <a:graphic>
              <a:graphicData uri="http://schemas.openxmlformats.org/drawingml/2006/picture">
                <pic:pic>
                  <pic:nvPicPr>
                    <pic:cNvPr id="0" name="7cd9e9c2d8e002062797dcd29dd081f2d639d761671c51660b73617f7edb775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proxy feature</w:t>
            </w:r>
          </w:p>
        </w:tc>
        <w:tc>
          <w:tcPr>
            <w:tcW w:type="dxa" w:w="3408"/>
          </w:tcPr>
          <w:p>
            <w:r>
              <w:t>input correlated with another sensitive attribute</w:t>
            </w:r>
          </w:p>
        </w:tc>
        <w:tc>
          <w:tcPr>
            <w:tcW w:type="dxa" w:w="3408"/>
          </w:tcPr>
          <w:p>
            <w:r/>
          </w:p>
        </w:tc>
      </w:tr>
      <w:tr>
        <w:tc>
          <w:tcPr>
            <w:tcW w:type="dxa" w:w="3408"/>
          </w:tcPr>
          <w:p>
            <w:r>
              <w:t>fairness</w:t>
            </w:r>
          </w:p>
        </w:tc>
        <w:tc>
          <w:tcPr>
            <w:tcW w:type="dxa" w:w="3408"/>
          </w:tcPr>
          <w:p>
            <w:r>
              <w:t>evaluate benefits and harms across affected groups</w:t>
            </w:r>
          </w:p>
        </w:tc>
        <w:tc>
          <w:tcPr>
            <w:tcW w:type="dxa" w:w="3408"/>
          </w:tcPr>
          <w:p>
            <w:r/>
          </w:p>
        </w:tc>
      </w:tr>
      <w:tr>
        <w:tc>
          <w:tcPr>
            <w:tcW w:type="dxa" w:w="3408"/>
          </w:tcPr>
          <w:p>
            <w:r>
              <w:t>paired test</w:t>
            </w:r>
          </w:p>
        </w:tc>
        <w:tc>
          <w:tcPr>
            <w:tcW w:type="dxa" w:w="3408"/>
          </w:tcPr>
          <w:p>
            <w:r>
              <w:t>cases differing in one relevant factor</w:t>
            </w:r>
          </w:p>
        </w:tc>
        <w:tc>
          <w:tcPr>
            <w:tcW w:type="dxa" w:w="3408"/>
          </w:tcPr>
          <w:p>
            <w:r/>
          </w:p>
        </w:tc>
      </w:tr>
      <w:tr>
        <w:tc>
          <w:tcPr>
            <w:tcW w:type="dxa" w:w="3408"/>
          </w:tcPr>
          <w:p>
            <w:r>
              <w:t>mitigation</w:t>
            </w:r>
          </w:p>
        </w:tc>
        <w:tc>
          <w:tcPr>
            <w:tcW w:type="dxa" w:w="3408"/>
          </w:tcPr>
          <w:p>
            <w:r>
              <w:t>control reducing an identified risk</w:t>
            </w:r>
          </w:p>
        </w:tc>
        <w:tc>
          <w:tcPr>
            <w:tcW w:type="dxa" w:w="3408"/>
          </w:tcPr>
          <w:p>
            <w:r/>
          </w:p>
        </w:tc>
      </w:tr>
    </w:tbl>
    <w:p>
      <w:r>
        <w:t>MISCONCEPTION TO REPAIR  Removing a sensitive column guarantees the model cannot use related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2: Proxy Features and Fairness"/>
            <wp:cNvGraphicFramePr>
              <a:graphicFrameLocks noChangeAspect="1"/>
            </wp:cNvGraphicFramePr>
            <a:graphic>
              <a:graphicData uri="http://schemas.openxmlformats.org/drawingml/2006/picture">
                <pic:pic>
                  <pic:nvPicPr>
                    <pic:cNvPr id="0" name="8d040fe932345049b360e19d4f7c0369f57471809ef3e631cec7e5f139fe7b5a.png"/>
                    <pic:cNvPicPr/>
                  </pic:nvPicPr>
                  <pic:blipFill>
                    <a:blip r:embed="rId21"/>
                    <a:stretch>
                      <a:fillRect/>
                    </a:stretch>
                  </pic:blipFill>
                  <pic:spPr>
                    <a:xfrm>
                      <a:off x="0" y="0"/>
                      <a:ext cx="5486400" cy="2523744"/>
                    </a:xfrm>
                    <a:prstGeom prst="rect"/>
                  </pic:spPr>
                </pic:pic>
              </a:graphicData>
            </a:graphic>
          </wp:inline>
        </w:drawing>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2"/>
            <wp:cNvGraphicFramePr>
              <a:graphicFrameLocks noChangeAspect="1"/>
            </wp:cNvGraphicFramePr>
            <a:graphic>
              <a:graphicData uri="http://schemas.openxmlformats.org/drawingml/2006/picture">
                <pic:pic>
                  <pic:nvPicPr>
                    <pic:cNvPr id="0" name="4171d2c9d3d8530b24703304516a5c042758efd2a3a0e70123296e7e1f300f5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Removing a sensitive column guarantees the model cannot use related information.</w:t>
      </w:r>
    </w:p>
    <w:p>
      <w:r>
        <w:t>Diagnose one cause and name the cleanest next experiment:</w:t>
      </w:r>
    </w:p>
    <w:p>
      <w:pPr>
        <w:pStyle w:val="Heading3"/>
      </w:pPr>
      <w:r>
        <w:t>A closer explanation</w:t>
      </w:r>
    </w:p>
    <w:p>
      <w:r>
        <w:t>Do not advertise fairness through unawareness merely because names or a sensitive field were removed. A classroom audit should state unresolved questions, intended non-use and a human review path. Never collect sensitive student information simply to fill this exercise.</w:t>
      </w:r>
    </w:p>
    <w:p>
      <w:pPr>
        <w:pStyle w:val="Heading3"/>
      </w:pPr>
      <w:r>
        <w:t>Does unchanged accuracy after removing a proxy prove fairness?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Compare versions with and without device code on the same validation cases, while checking subgroup errors and useful task performance. This ablation measures a change in that experiment; correlated inputs may still carry similar information. Retain group definitions and denominators, and avoid using the final test for repeated feature decisions.</w:t>
      </w:r>
    </w:p>
    <w:p>
      <w:pPr>
        <w:pStyle w:val="Heading3"/>
      </w:pPr>
      <w:r>
        <w:t>Practise with less help: Find a proxy risk</w:t>
      </w:r>
    </w:p>
    <w:p>
      <w:r>
        <w:t>Use workbook W2 for the connected example “Proxy features and fairness”.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Proxy features and fairness.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contradicts the original “all setting information removed”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2"/>
            <wp:cNvGraphicFramePr>
              <a:graphicFrameLocks noChangeAspect="1"/>
            </wp:cNvGraphicFramePr>
            <a:graphic>
              <a:graphicData uri="http://schemas.openxmlformats.org/drawingml/2006/picture">
                <pic:pic>
                  <pic:nvPicPr>
                    <pic:cNvPr id="0" name="84a2fa6c788977fce85911e9c2f26f6edeac24898a1d4004119ec4902caca9c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proxy feature, fairness, paired test, mitigation.</w:t>
      </w:r>
    </w:p>
    <w:p>
      <w:r>
        <w:t>CALCULATE  Reproduce the worked evidence with units and denominator.</w:t>
      </w:r>
    </w:p>
    <w:p>
      <w:r>
        <w:t>TRACE  Explain the data, code or decision path.</w:t>
      </w:r>
    </w:p>
    <w:p>
      <w:r>
        <w:t>DIAGNOSE  Removing a sensitive column guarantees the model cannot use related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2"/>
            <wp:cNvGraphicFramePr>
              <a:graphicFrameLocks noChangeAspect="1"/>
            </wp:cNvGraphicFramePr>
            <a:graphic>
              <a:graphicData uri="http://schemas.openxmlformats.org/drawingml/2006/picture">
                <pic:pic>
                  <pic:nvPicPr>
                    <pic:cNvPr id="0" name="6a8f9daddafe4c6e1a359afd351c9a8af782f05cfbccb560742a62fa33a31ced.png"/>
                    <pic:cNvPicPr/>
                  </pic:nvPicPr>
                  <pic:blipFill>
                    <a:blip r:embed="rId27"/>
                    <a:stretch>
                      <a:fillRect/>
                    </a:stretch>
                  </pic:blipFill>
                  <pic:spPr>
                    <a:xfrm>
                      <a:off x="0" y="0"/>
                      <a:ext cx="5486400" cy="2048256"/>
                    </a:xfrm>
                    <a:prstGeom prst="rect"/>
                  </pic:spPr>
                </pic:pic>
              </a:graphicData>
            </a:graphic>
          </wp:inline>
        </w:drawing>
      </w:r>
    </w:p>
    <w:p>
      <w:r>
        <w:t>THIS WEEK'S CHECKPOINT  Document Plant Classifier proxy risks, paired-test evidence, mitigation, and remaining fairness limitation.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2"/>
            <wp:cNvGraphicFramePr>
              <a:graphicFrameLocks noChangeAspect="1"/>
            </wp:cNvGraphicFramePr>
            <a:graphic>
              <a:graphicData uri="http://schemas.openxmlformats.org/drawingml/2006/picture">
                <pic:pic>
                  <pic:nvPicPr>
                    <pic:cNvPr id="0" name="a81361ebee8751de458a70e78f88f5c18abcd04dba7f4195aeb797d4af6c7acc.png"/>
                    <pic:cNvPicPr/>
                  </pic:nvPicPr>
                  <pic:blipFill>
                    <a:blip r:embed="rId28"/>
                    <a:stretch>
                      <a:fillRect/>
                    </a:stretch>
                  </pic:blipFill>
                  <pic:spPr>
                    <a:xfrm>
                      <a:off x="0" y="0"/>
                      <a:ext cx="5486400" cy="2048256"/>
                    </a:xfrm>
                    <a:prstGeom prst="rect"/>
                  </pic:spPr>
                </pic:pic>
              </a:graphicData>
            </a:graphic>
          </wp:inline>
        </w:drawing>
      </w:r>
    </w:p>
    <w:p>
      <w:r>
        <w:t>REQUIRED PROOF  Trace suspicious proxies and compare model behavior after a controlled removal.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Model Cards and Human Review.</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Background colour tracks collection location, associated with plant types.</w:t>
      </w:r>
    </w:p>
    <w:p>
      <w:pPr>
        <w:pStyle w:val="Heading3"/>
      </w:pPr>
      <w:r>
        <w:t>The question</w:t>
      </w:r>
    </w:p>
    <w:p>
      <w:r>
        <w:t>Explain proxy risk and test.</w:t>
      </w:r>
    </w:p>
    <w:p>
      <w:pPr>
        <w:pStyle w:val="Heading3"/>
      </w:pPr>
      <w:r>
        <w:t>Worked explanation</w:t>
      </w:r>
    </w:p>
    <w:p>
      <w:r>
        <w:t>Background can be a location shortcut rather than leaf evidence. Test leaf types across backgrounds and locations and compare slices.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whether a proxy replaces leaf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Background colour</w:t>
            </w:r>
          </w:p>
        </w:tc>
        <w:tc>
          <w:tcPr>
            <w:tcW w:type="dxa" w:w="5112"/>
          </w:tcPr>
          <w:p>
            <w:r>
              <w:t>Tracks collection location</w:t>
            </w:r>
          </w:p>
        </w:tc>
      </w:tr>
      <w:tr>
        <w:tc>
          <w:tcPr>
            <w:tcW w:type="dxa" w:w="5112"/>
          </w:tcPr>
          <w:p>
            <w:r>
              <w:t>Location</w:t>
            </w:r>
          </w:p>
        </w:tc>
        <w:tc>
          <w:tcPr>
            <w:tcW w:type="dxa" w:w="5112"/>
          </w:tcPr>
          <w:p>
            <w:r>
              <w:t>Associated with plant type</w:t>
            </w:r>
          </w:p>
        </w:tc>
      </w:tr>
      <w:tr>
        <w:tc>
          <w:tcPr>
            <w:tcW w:type="dxa" w:w="5112"/>
          </w:tcPr>
          <w:p>
            <w:r>
              <w:t>Risk</w:t>
            </w:r>
          </w:p>
        </w:tc>
        <w:tc>
          <w:tcPr>
            <w:tcW w:type="dxa" w:w="5112"/>
          </w:tcPr>
          <w:p>
            <w:r>
              <w:t>Model uses shortcut</w:t>
            </w:r>
          </w:p>
        </w:tc>
      </w:tr>
      <w:tr>
        <w:tc>
          <w:tcPr>
            <w:tcW w:type="dxa" w:w="5112"/>
          </w:tcPr>
          <w:p>
            <w:r>
              <w:t>Test</w:t>
            </w:r>
          </w:p>
        </w:tc>
        <w:tc>
          <w:tcPr>
            <w:tcW w:type="dxa" w:w="5112"/>
          </w:tcPr>
          <w:p>
            <w:r>
              <w:t>Cross leaf types with backgrounds and locations</w:t>
            </w:r>
          </w:p>
        </w:tc>
      </w:tr>
    </w:tbl>
    <w:p>
      <w:r>
        <w:t>Background colour tracks collection location, associated with plant types.</w:t>
      </w:r>
    </w:p>
    <w:p>
      <w:r>
        <w:t>Explain proxy risk and test.</w:t>
      </w:r>
    </w:p>
    <w:p>
      <w:r>
        <w:t>Background can be a location shortcut rather than leaf evidence. Test leaf types across backgrounds and locations and compare slices.</w:t>
      </w:r>
    </w:p>
    <w:p>
      <w:pPr>
        <w:pStyle w:val="Heading1"/>
      </w:pPr>
      <w:r>
        <w:t>14. Try a new case independently</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plant classifier uses camera_model, and one species was photographed mostly on a single camera. What shortcut might it learn and how could you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Document Plant Classifier proxy risks, paired-test evidence, mitigation, and remaining fairness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leaf model performs well using location ID alone. Explain a possible proxy problem and design a diagnostic evaluation.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