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ai-4/33</w:t>
      </w:r>
    </w:p>
    <w:p>
      <w:pPr>
        <w:pStyle w:val="Title"/>
      </w:pPr>
      <w:r>
        <w:t>Model Cards and Human Review</w:t>
      </w:r>
    </w:p>
    <w:p>
      <w:r>
        <w:t>Project: Responsible Plant Classifier</w:t>
      </w:r>
    </w:p>
    <w:p>
      <w:pPr>
        <w:pStyle w:val="Heading1"/>
      </w:pPr>
      <w:r>
        <w:t>Before you start</w:t>
      </w:r>
    </w:p>
    <w:p>
      <w:r>
        <w:t>Week 31: a single overall metric hides conditions and failure types.</w:t>
      </w:r>
    </w:p>
    <w:p>
      <w:pPr>
        <w:pStyle w:val="Heading1"/>
      </w:pPr>
      <w:r>
        <w:t>01. Your mission</w:t>
      </w:r>
    </w:p>
    <w:p>
      <w:pPr>
        <w:pStyle w:val="Heading3"/>
      </w:pPr>
      <w:r>
        <w:t>Your learning target</w:t>
      </w:r>
    </w:p>
    <w:p>
      <w:r>
        <w:t>I can write a model card whose claims match evidence.</w:t>
      </w:r>
    </w:p>
    <w:p>
      <w:r>
        <w:t>I can separate intended use from unsupported use.</w:t>
      </w:r>
    </w:p>
    <w:p>
      <w:r>
        <w:t>I can review a card for missing evaluation details.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Proxy Features and Fairness. Give an example and a mistake that the idea helps you avoid.</w:t>
      </w:r>
    </w:p>
    <w:p>
      <w:r>
        <w:t>Without opening the old lesson, explain one key idea from Improve Generalization. Give an example and a mistake that the idea helps you avoid.</w:t>
      </w:r>
    </w:p>
    <w:p>
      <w:r>
        <w:t>Without opening the old lesson, explain one key idea from Overfitting. Give an example and a mistake that the idea helps you avoid.</w:t>
      </w:r>
    </w:p>
    <w:p>
      <w:r>
        <w:t>After trying, check the relevant lesson or ask your teacher. Change the part of your explanation that the evidence shows was wrong.</w:t>
      </w:r>
    </w:p>
    <w:p>
      <w:r>
        <w:t>A model card defines intended use, evidence, limitations, risks, decision boundaries, monitoring, and human escalation.</w:t>
      </w:r>
    </w:p>
    <w:p>
      <w:r>
        <w:drawing>
          <wp:inline xmlns:a="http://schemas.openxmlformats.org/drawingml/2006/main" xmlns:pic="http://schemas.openxmlformats.org/drawingml/2006/picture">
            <wp:extent cx="2942705" cy="2942705"/>
            <wp:docPr id="1" name="Picture 1"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LEARNING TARGET  Draft five model-card headings for a classroom leaf classifier. Why must the card state that its labels are classroom categories rather than professional plant diagnosis?</w:t>
      </w:r>
    </w:p>
    <w:p>
      <w:r>
        <w:t>Builder name and experiment date:</w:t>
      </w:r>
    </w:p>
    <w:p>
      <w:pPr>
        <w:pStyle w:val="Heading3"/>
      </w:pPr>
      <w:r>
        <w:t>Readiness for the connected explanation</w:t>
      </w:r>
    </w:p>
    <w:p>
      <w:r>
        <w:t>What should remain visible after an evaluation?</w:t>
      </w:r>
    </w:p>
    <w:p>
      <w:pPr>
        <w:pStyle w:val="Heading3"/>
      </w:pPr>
      <w:r>
        <w:t>This week’s end goal</w:t>
      </w:r>
    </w:p>
    <w:p>
      <w:r>
        <w:t>By the end, I can explain model cards and human review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MYSTERY  The team must use model cards and human review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3 machine-learning flow stage 1"/>
            <wp:cNvGraphicFramePr>
              <a:graphicFrameLocks noChangeAspect="1"/>
            </wp:cNvGraphicFramePr>
            <a:graphic>
              <a:graphicData uri="http://schemas.openxmlformats.org/drawingml/2006/picture">
                <pic:pic>
                  <pic:nvPicPr>
                    <pic:cNvPr id="0" name="d345aea982f80e12cb357ba10997d3ebc6371048b964c32831a60272e4f2847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3 machine-learning flow stage 2"/>
            <wp:cNvGraphicFramePr>
              <a:graphicFrameLocks noChangeAspect="1"/>
            </wp:cNvGraphicFramePr>
            <a:graphic>
              <a:graphicData uri="http://schemas.openxmlformats.org/drawingml/2006/picture">
                <pic:pic>
                  <pic:nvPicPr>
                    <pic:cNvPr id="0" name="3b0ec7ddd6b0461faf623caabc53a09cb5e4d23b2f4eeeae9ab9ab0b11af1d6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3 machine-learning flow stage 3"/>
            <wp:cNvGraphicFramePr>
              <a:graphicFrameLocks noChangeAspect="1"/>
            </wp:cNvGraphicFramePr>
            <a:graphic>
              <a:graphicData uri="http://schemas.openxmlformats.org/drawingml/2006/picture">
                <pic:pic>
                  <pic:nvPicPr>
                    <pic:cNvPr id="0" name="4f268c63c03df40e5aded011964001ef79b3c82d4acc5d5a65a16bfd3270a1f7.png"/>
                    <pic:cNvPicPr/>
                  </pic:nvPicPr>
                  <pic:blipFill>
                    <a:blip r:embed="rId12"/>
                    <a:stretch>
                      <a:fillRect/>
                    </a:stretch>
                  </pic:blipFill>
                  <pic:spPr>
                    <a:xfrm>
                      <a:off x="0" y="0"/>
                      <a:ext cx="5237018" cy="3200400"/>
                    </a:xfrm>
                    <a:prstGeom prst="rect"/>
                  </pic:spPr>
                </pic:pic>
              </a:graphicData>
            </a:graphic>
          </wp:inline>
        </w:drawing>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pPr>
        <w:pStyle w:val="Heading3"/>
      </w:pPr>
      <w:r>
        <w:t>A closer explanation</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odel card, deployment-facing model documentation"/>
            <wp:cNvGraphicFramePr>
              <a:graphicFrameLocks noChangeAspect="1"/>
            </wp:cNvGraphicFramePr>
            <a:graphic>
              <a:graphicData uri="http://schemas.openxmlformats.org/drawingml/2006/picture">
                <pic:pic>
                  <pic:nvPicPr>
                    <pic:cNvPr id="0" name="a4078719423498409ad0a0546a1a30388fd99b2191f0a95153446d3082d811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intended use, approved purpose and setting"/>
            <wp:cNvGraphicFramePr>
              <a:graphicFrameLocks noChangeAspect="1"/>
            </wp:cNvGraphicFramePr>
            <a:graphic>
              <a:graphicData uri="http://schemas.openxmlformats.org/drawingml/2006/picture">
                <pic:pic>
                  <pic:nvPicPr>
                    <pic:cNvPr id="0" name="8c1c32401e488368dce37fc71ee701cc0643ee986a9a7b50d5f4b289eac2378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o-not-use, explicit prohibited application"/>
            <wp:cNvGraphicFramePr>
              <a:graphicFrameLocks noChangeAspect="1"/>
            </wp:cNvGraphicFramePr>
            <a:graphic>
              <a:graphicData uri="http://schemas.openxmlformats.org/drawingml/2006/picture">
                <pic:pic>
                  <pic:nvPicPr>
                    <pic:cNvPr id="0" name="4770bb3cf7e86329f06ce4b5573a3606147431cf8e6db207924a7be9013ea9b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human review, authorized person checks or decides"/>
            <wp:cNvGraphicFramePr>
              <a:graphicFrameLocks noChangeAspect="1"/>
            </wp:cNvGraphicFramePr>
            <a:graphic>
              <a:graphicData uri="http://schemas.openxmlformats.org/drawingml/2006/picture">
                <pic:pic>
                  <pic:nvPicPr>
                    <pic:cNvPr id="0" name="98d45b36cc882d09d3fbc47d3463cfc42655833720545c94c6ddeb06eed5976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model card</w:t>
            </w:r>
          </w:p>
        </w:tc>
        <w:tc>
          <w:tcPr>
            <w:tcW w:type="dxa" w:w="3408"/>
          </w:tcPr>
          <w:p>
            <w:r>
              <w:t>deployment-facing model documentation</w:t>
            </w:r>
          </w:p>
        </w:tc>
        <w:tc>
          <w:tcPr>
            <w:tcW w:type="dxa" w:w="3408"/>
          </w:tcPr>
          <w:p>
            <w:r/>
          </w:p>
        </w:tc>
      </w:tr>
      <w:tr>
        <w:tc>
          <w:tcPr>
            <w:tcW w:type="dxa" w:w="3408"/>
          </w:tcPr>
          <w:p>
            <w:r>
              <w:t>intended use</w:t>
            </w:r>
          </w:p>
        </w:tc>
        <w:tc>
          <w:tcPr>
            <w:tcW w:type="dxa" w:w="3408"/>
          </w:tcPr>
          <w:p>
            <w:r>
              <w:t>approved purpose and setting</w:t>
            </w:r>
          </w:p>
        </w:tc>
        <w:tc>
          <w:tcPr>
            <w:tcW w:type="dxa" w:w="3408"/>
          </w:tcPr>
          <w:p>
            <w:r/>
          </w:p>
        </w:tc>
      </w:tr>
      <w:tr>
        <w:tc>
          <w:tcPr>
            <w:tcW w:type="dxa" w:w="3408"/>
          </w:tcPr>
          <w:p>
            <w:r>
              <w:t>do-not-use</w:t>
            </w:r>
          </w:p>
        </w:tc>
        <w:tc>
          <w:tcPr>
            <w:tcW w:type="dxa" w:w="3408"/>
          </w:tcPr>
          <w:p>
            <w:r>
              <w:t>explicit prohibited application</w:t>
            </w:r>
          </w:p>
        </w:tc>
        <w:tc>
          <w:tcPr>
            <w:tcW w:type="dxa" w:w="3408"/>
          </w:tcPr>
          <w:p>
            <w:r/>
          </w:p>
        </w:tc>
      </w:tr>
      <w:tr>
        <w:tc>
          <w:tcPr>
            <w:tcW w:type="dxa" w:w="3408"/>
          </w:tcPr>
          <w:p>
            <w:r>
              <w:t>human review</w:t>
            </w:r>
          </w:p>
        </w:tc>
        <w:tc>
          <w:tcPr>
            <w:tcW w:type="dxa" w:w="3408"/>
          </w:tcPr>
          <w:p>
            <w:r>
              <w:t>authorized person checks or decides</w:t>
            </w:r>
          </w:p>
        </w:tc>
        <w:tc>
          <w:tcPr>
            <w:tcW w:type="dxa" w:w="3408"/>
          </w:tcPr>
          <w:p>
            <w:r/>
          </w:p>
        </w:tc>
      </w:tr>
    </w:tbl>
    <w:p>
      <w:r>
        <w:t>MISCONCEPTION TO REPAIR  A disclaimer at the bottom of the screen is a complete safety plan.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3: Model Cards and Human Review"/>
            <wp:cNvGraphicFramePr>
              <a:graphicFrameLocks noChangeAspect="1"/>
            </wp:cNvGraphicFramePr>
            <a:graphic>
              <a:graphicData uri="http://schemas.openxmlformats.org/drawingml/2006/picture">
                <pic:pic>
                  <pic:nvPicPr>
                    <pic:cNvPr id="0" name="560d166d1ad0eebc97989862b0a451b2052bd550a656a02b8abfacb195e1ad09.png"/>
                    <pic:cNvPicPr/>
                  </pic:nvPicPr>
                  <pic:blipFill>
                    <a:blip r:embed="rId21"/>
                    <a:stretch>
                      <a:fillRect/>
                    </a:stretch>
                  </pic:blipFill>
                  <pic:spPr>
                    <a:xfrm>
                      <a:off x="0" y="0"/>
                      <a:ext cx="5486400" cy="2523744"/>
                    </a:xfrm>
                    <a:prstGeom prst="rect"/>
                  </pic:spPr>
                </pic:pic>
              </a:graphicData>
            </a:graphic>
          </wp:inline>
        </w:drawing>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3"/>
            <wp:cNvGraphicFramePr>
              <a:graphicFrameLocks noChangeAspect="1"/>
            </wp:cNvGraphicFramePr>
            <a:graphic>
              <a:graphicData uri="http://schemas.openxmlformats.org/drawingml/2006/picture">
                <pic:pic>
                  <pic:nvPicPr>
                    <pic:cNvPr id="0" name="04c09b34b534b91ed9840f57bc0f6578c37cba698c2a692845d814abc4014e65.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disclaimer at the bottom of the screen is a complete safety plan.</w:t>
      </w:r>
    </w:p>
    <w:p>
      <w:r>
        <w:t>Diagnose one cause and name the cleanest next experiment:</w:t>
      </w:r>
    </w:p>
    <w:p>
      <w:pPr>
        <w:pStyle w:val="Heading3"/>
      </w:pPr>
      <w:r>
        <w:t>A closer explanation</w:t>
      </w:r>
    </w:p>
    <w:p>
      <w:r>
        <w:t>Do not claim a synthetic classroom dataset represents every school or age group. Missing calibration, subgroup or shift evidence must remain explicit. A useful card may conclude that the model should stay a classroom demonstration.</w:t>
      </w:r>
    </w:p>
    <w:p>
      <w:pPr>
        <w:pStyle w:val="Heading3"/>
      </w:pPr>
      <w:r>
        <w:t>What should change in a card after a threshold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peer reviewer traces one headline number back to the saved predictions, checks denominators and looks for mismatches between intended use and evidence. Record requested changes and whether each was resolved. A card must be updated when its model, data or intended use changes.</w:t>
      </w:r>
    </w:p>
    <w:p>
      <w:pPr>
        <w:pStyle w:val="Heading3"/>
      </w:pPr>
      <w:r>
        <w:t>Practise with less help: Check arithmetic</w:t>
      </w:r>
    </w:p>
    <w:p>
      <w:r>
        <w:t>Use workbook W2 for the connected example “Model cards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Model cards and review.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bounded replacement for the publicity sentence.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3"/>
            <wp:cNvGraphicFramePr>
              <a:graphicFrameLocks noChangeAspect="1"/>
            </wp:cNvGraphicFramePr>
            <a:graphic>
              <a:graphicData uri="http://schemas.openxmlformats.org/drawingml/2006/picture">
                <pic:pic>
                  <pic:nvPicPr>
                    <pic:cNvPr id="0" name="ebef24e3165053cc617fc190a6537545ab04483afe9a38d6bfeafa10a547789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model card, intended use, do-not-use, human review.</w:t>
      </w:r>
    </w:p>
    <w:p>
      <w:r>
        <w:t>CALCULATE  Reproduce the worked evidence with units and denominator.</w:t>
      </w:r>
    </w:p>
    <w:p>
      <w:r>
        <w:t>TRACE  Explain the data, code or decision path.</w:t>
      </w:r>
    </w:p>
    <w:p>
      <w:r>
        <w:t>DIAGNOSE  A disclaimer at the bottom of the screen is a complete safety plan.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3"/>
            <wp:cNvGraphicFramePr>
              <a:graphicFrameLocks noChangeAspect="1"/>
            </wp:cNvGraphicFramePr>
            <a:graphic>
              <a:graphicData uri="http://schemas.openxmlformats.org/drawingml/2006/picture">
                <pic:pic>
                  <pic:nvPicPr>
                    <pic:cNvPr id="0" name="dd005354e60a964fd81a8faa6ed6fffdbfb83ac8ccc0fb93afa303b4bafb58c0.png"/>
                    <pic:cNvPicPr/>
                  </pic:nvPicPr>
                  <pic:blipFill>
                    <a:blip r:embed="rId27"/>
                    <a:stretch>
                      <a:fillRect/>
                    </a:stretch>
                  </pic:blipFill>
                  <pic:spPr>
                    <a:xfrm>
                      <a:off x="0" y="0"/>
                      <a:ext cx="5486400" cy="2048256"/>
                    </a:xfrm>
                    <a:prstGeom prst="rect"/>
                  </pic:spPr>
                </pic:pic>
              </a:graphicData>
            </a:graphic>
          </wp:inline>
        </w:drawing>
      </w:r>
    </w:p>
    <w:p>
      <w:r>
        <w:t>THIS WEEK'S CHECKPOINT  Complete the Plant Classifier model card and require teacher sign-off before any classroom demonstration.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3"/>
            <wp:cNvGraphicFramePr>
              <a:graphicFrameLocks noChangeAspect="1"/>
            </wp:cNvGraphicFramePr>
            <a:graphic>
              <a:graphicData uri="http://schemas.openxmlformats.org/drawingml/2006/picture">
                <pic:pic>
                  <pic:nvPicPr>
                    <pic:cNvPr id="0" name="8082b2dcbae4d4f10b9c0b7d4f696dec7a0c49d9b97bd0fc20271fb95cc44392.png"/>
                    <pic:cNvPicPr/>
                  </pic:nvPicPr>
                  <pic:blipFill>
                    <a:blip r:embed="rId28"/>
                    <a:stretch>
                      <a:fillRect/>
                    </a:stretch>
                  </pic:blipFill>
                  <pic:spPr>
                    <a:xfrm>
                      <a:off x="0" y="0"/>
                      <a:ext cx="5486400" cy="2048256"/>
                    </a:xfrm>
                    <a:prstGeom prst="rect"/>
                  </pic:spPr>
                </pic:pic>
              </a:graphicData>
            </a:graphic>
          </wp:inline>
        </w:drawing>
      </w:r>
    </w:p>
    <w:p>
      <w:r>
        <w:t>REQUIRED PROOF  Write a model card with a clear do-not-use case and review path.</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Dataset and Baseline.</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A model card says healthy/spotted,80% accuracy only.</w:t>
      </w:r>
    </w:p>
    <w:p>
      <w:pPr>
        <w:pStyle w:val="Heading3"/>
      </w:pPr>
      <w:r>
        <w:t>The question</w:t>
      </w:r>
    </w:p>
    <w:p>
      <w:r>
        <w:t>Add responsible-use evidence.</w:t>
      </w:r>
    </w:p>
    <w:p>
      <w:pPr>
        <w:pStyle w:val="Heading3"/>
      </w:pPr>
      <w:r>
        <w:t>Worked explanation</w:t>
      </w:r>
    </w:p>
    <w:p>
      <w:r>
        <w:t>Intended users/conditions, labels/data, evaluation sets/metrics, class/subgroup results, versions, limitations, excluded uses and human review. Classroom classification is not professional diagnosis.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model card supports responsible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Purpose</w:t>
            </w:r>
          </w:p>
        </w:tc>
        <w:tc>
          <w:tcPr>
            <w:tcW w:type="dxa" w:w="5112"/>
          </w:tcPr>
          <w:p>
            <w:r>
              <w:t>Users, conditions and excluded uses</w:t>
            </w:r>
          </w:p>
        </w:tc>
      </w:tr>
      <w:tr>
        <w:tc>
          <w:tcPr>
            <w:tcW w:type="dxa" w:w="5112"/>
          </w:tcPr>
          <w:p>
            <w:r>
              <w:t>Evidence</w:t>
            </w:r>
          </w:p>
        </w:tc>
        <w:tc>
          <w:tcPr>
            <w:tcW w:type="dxa" w:w="5112"/>
          </w:tcPr>
          <w:p>
            <w:r>
              <w:t>Data, labels, metrics and subgroup results</w:t>
            </w:r>
          </w:p>
        </w:tc>
      </w:tr>
      <w:tr>
        <w:tc>
          <w:tcPr>
            <w:tcW w:type="dxa" w:w="5112"/>
          </w:tcPr>
          <w:p>
            <w:r>
              <w:t>Version</w:t>
            </w:r>
          </w:p>
        </w:tc>
        <w:tc>
          <w:tcPr>
            <w:tcW w:type="dxa" w:w="5112"/>
          </w:tcPr>
          <w:p>
            <w:r>
              <w:t>System and evaluation identity</w:t>
            </w:r>
          </w:p>
        </w:tc>
      </w:tr>
      <w:tr>
        <w:tc>
          <w:tcPr>
            <w:tcW w:type="dxa" w:w="5112"/>
          </w:tcPr>
          <w:p>
            <w:r>
              <w:t>Limits</w:t>
            </w:r>
          </w:p>
        </w:tc>
        <w:tc>
          <w:tcPr>
            <w:tcW w:type="dxa" w:w="5112"/>
          </w:tcPr>
          <w:p>
            <w:r>
              <w:t>Failure conditions and human review</w:t>
            </w:r>
          </w:p>
        </w:tc>
      </w:tr>
    </w:tbl>
    <w:p>
      <w:r>
        <w:t>A model card says healthy/spotted,80% accuracy only.</w:t>
      </w:r>
    </w:p>
    <w:p>
      <w:r>
        <w:t>Add responsible-use evidence.</w:t>
      </w:r>
    </w:p>
    <w:p>
      <w:r>
        <w:t>Intended users/conditions, labels/data, evaluation sets/metrics, class/subgroup results, versions, limitations, excluded uses and human review. Classroom classification is not professional diagnosis.</w:t>
      </w:r>
    </w:p>
    <w:p>
      <w:pPr>
        <w:pStyle w:val="Heading1"/>
      </w:pPr>
      <w:r>
        <w:t>14. Try a new case independently</w:t>
      </w:r>
    </w:p>
    <w:p>
      <w:pPr>
        <w:pStyle w:val="Heading3"/>
      </w:pPr>
      <w:r>
        <w:t>Independent case: Apply independently</w:t>
      </w:r>
    </w:p>
    <w:p>
      <w: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A model card says 90% accuracy but gives no intended use, data conditions or human-review rule. What should be added before classroom 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Plant Classifier model card and require teacher sign-off before any classroom demonstration.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Draft five model-card headings for a classroom leaf classifier. Why must the card state that its labels are classroom categories rather than professional plant diagnosis?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