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ai-5/30</w:t>
      </w:r>
    </w:p>
    <w:p>
      <w:pPr>
        <w:pStyle w:val="Title"/>
      </w:pPr>
      <w:r>
        <w:t>Dataset shift in neural models</w:t>
      </w:r>
    </w:p>
    <w:p>
      <w:r>
        <w:t>Project: Image-pattern Network Investigation</w:t>
      </w:r>
    </w:p>
    <w:p>
      <w:pPr>
        <w:pStyle w:val="Heading1"/>
      </w:pPr>
      <w:r>
        <w:t>Before you start</w:t>
      </w:r>
    </w:p>
    <w:p>
      <w:r>
        <w:t>Can a high confidence score establish that a new input resembles the development data or that its prediction is correct?</w:t>
      </w:r>
    </w:p>
    <w:p>
      <w:pPr>
        <w:pStyle w:val="Heading1"/>
      </w:pPr>
      <w:r>
        <w:t>01. Your mission</w:t>
      </w:r>
    </w:p>
    <w:p>
      <w:pPr>
        <w:pStyle w:val="Heading3"/>
      </w:pPr>
      <w:r>
        <w:t>Your learning target</w:t>
      </w:r>
    </w:p>
    <w:p>
      <w:r>
        <w:t>I can explain how a changed input mix can change overall accuracy.</w:t>
      </w:r>
    </w:p>
    <w:p>
      <w:r>
        <w:t>I can calculate group and overall results with the correct denominators.</w:t>
      </w:r>
    </w:p>
    <w:p>
      <w:r>
        <w:t>I can plan a shift investigation while preserving independent evaluation.</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Uncertainty and failure analysis. Give an example and a mistake that the idea helps you avoid.</w:t>
      </w:r>
    </w:p>
    <w:p>
      <w:r>
        <w:t>Without opening the old lesson, explain one key idea from Similarity and normalisation. Give an example and a mistake that the idea helps you avoid.</w:t>
      </w:r>
    </w:p>
    <w:p>
      <w:r>
        <w:t>Without opening the old lesson, explain one key idea from Augmentation and leakage. Give an example and a mistake that the idea helps you avoid.</w:t>
      </w:r>
    </w:p>
    <w:p>
      <w:r>
        <w:t>After trying, check the relevant lesson or ask your teacher. Change the part of your explanation that the evidence shows was wrong.</w:t>
      </w:r>
    </w:p>
    <w:p>
      <w:r>
        <w:t>This week you will practise:</w:t>
      </w:r>
    </w:p>
    <w:p>
      <w:r>
        <w:t>Explain how a changed input mix can change overall accuracy</w:t>
      </w:r>
    </w:p>
    <w:p>
      <w:r>
        <w:t>Calculate group and overall results with the correct denominators</w:t>
      </w:r>
    </w:p>
    <w:p>
      <w:r>
        <w:t>Plan a shift investigation while preserving independent evaluation</w:t>
      </w:r>
    </w:p>
    <w:p>
      <w:pPr>
        <w:pStyle w:val="Heading3"/>
      </w:pPr>
      <w:r>
        <w:t>Retrieve what you already know</w:t>
      </w:r>
    </w:p>
    <w:p>
      <w:r>
        <w:t>Can a high confidence score establish that a new input resembles the development data or that its prediction is correct?</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dataset shift in neural models using a traced example and a stated limitation.</w:t>
      </w:r>
    </w:p>
    <w:p>
      <w:pPr>
        <w:pStyle w:val="Heading1"/>
      </w:pPr>
      <w:r>
        <w:t>02. Notice the evidence</w:t>
      </w:r>
    </w:p>
    <w:p>
      <w:r>
        <w:t>A neural image classifier developed using mostly clear pictures may later receive mostly dim pictures. Its learned weights can stay unchanged while its overall results change. Dataset shift concerns changes in the data encountered, including inputs, label frequencies or the relationship between inputs and labels. A shift does not always reduce accuracy, and an accuracy change alone does not identify its cause.</w:t>
      </w:r>
    </w:p>
    <w:p>
      <w:r>
        <w:t>Use the fictional audit below. Clear and dim are disjoint groups defined before the audit, and every case belongs to exactly one group. The same model checkpoint, preprocessing and prediction threshold are used throughout. Counts are constructed teaching data, not results from a deployed model. Both cohorts have checked reference labels.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Cohort</w:t>
            </w:r>
          </w:p>
        </w:tc>
        <w:tc>
          <w:tcPr>
            <w:tcW w:type="dxa" w:w="2556"/>
          </w:tcPr>
          <w:p>
            <w:r>
              <w:t>Group</w:t>
            </w:r>
          </w:p>
        </w:tc>
        <w:tc>
          <w:tcPr>
            <w:tcW w:type="dxa" w:w="2556"/>
          </w:tcPr>
          <w:p>
            <w:r>
              <w:t>Cases</w:t>
            </w:r>
          </w:p>
        </w:tc>
        <w:tc>
          <w:tcPr>
            <w:tcW w:type="dxa" w:w="2556"/>
          </w:tcPr>
          <w:p>
            <w:r>
              <w:t>Correct</w:t>
            </w:r>
          </w:p>
        </w:tc>
      </w:tr>
      <w:tr>
        <w:tc>
          <w:tcPr>
            <w:tcW w:type="dxa" w:w="2556"/>
          </w:tcPr>
          <w:p>
            <w:r>
              <w:t>Development audit</w:t>
            </w:r>
          </w:p>
        </w:tc>
        <w:tc>
          <w:tcPr>
            <w:tcW w:type="dxa" w:w="2556"/>
          </w:tcPr>
          <w:p>
            <w:r>
              <w:t>Clear</w:t>
            </w:r>
          </w:p>
        </w:tc>
        <w:tc>
          <w:tcPr>
            <w:tcW w:type="dxa" w:w="2556"/>
          </w:tcPr>
          <w:p>
            <w:r>
              <w:t>80</w:t>
            </w:r>
          </w:p>
        </w:tc>
        <w:tc>
          <w:tcPr>
            <w:tcW w:type="dxa" w:w="2556"/>
          </w:tcPr>
          <w:p>
            <w:r>
              <w:t>72</w:t>
            </w:r>
          </w:p>
        </w:tc>
      </w:tr>
      <w:tr>
        <w:tc>
          <w:tcPr>
            <w:tcW w:type="dxa" w:w="2556"/>
          </w:tcPr>
          <w:p>
            <w:r>
              <w:t>Development audit</w:t>
            </w:r>
          </w:p>
        </w:tc>
        <w:tc>
          <w:tcPr>
            <w:tcW w:type="dxa" w:w="2556"/>
          </w:tcPr>
          <w:p>
            <w:r>
              <w:t>Dim</w:t>
            </w:r>
          </w:p>
        </w:tc>
        <w:tc>
          <w:tcPr>
            <w:tcW w:type="dxa" w:w="2556"/>
          </w:tcPr>
          <w:p>
            <w:r>
              <w:t>20</w:t>
            </w:r>
          </w:p>
        </w:tc>
        <w:tc>
          <w:tcPr>
            <w:tcW w:type="dxa" w:w="2556"/>
          </w:tcPr>
          <w:p>
            <w:r>
              <w:t>10</w:t>
            </w:r>
          </w:p>
        </w:tc>
      </w:tr>
      <w:tr>
        <w:tc>
          <w:tcPr>
            <w:tcW w:type="dxa" w:w="2556"/>
          </w:tcPr>
          <w:p>
            <w:r>
              <w:t>New-use audit</w:t>
            </w:r>
          </w:p>
        </w:tc>
        <w:tc>
          <w:tcPr>
            <w:tcW w:type="dxa" w:w="2556"/>
          </w:tcPr>
          <w:p>
            <w:r>
              <w:t>Clear</w:t>
            </w:r>
          </w:p>
        </w:tc>
        <w:tc>
          <w:tcPr>
            <w:tcW w:type="dxa" w:w="2556"/>
          </w:tcPr>
          <w:p>
            <w:r>
              <w:t>20</w:t>
            </w:r>
          </w:p>
        </w:tc>
        <w:tc>
          <w:tcPr>
            <w:tcW w:type="dxa" w:w="2556"/>
          </w:tcPr>
          <w:p>
            <w:r>
              <w:t>18</w:t>
            </w:r>
          </w:p>
        </w:tc>
      </w:tr>
      <w:tr>
        <w:tc>
          <w:tcPr>
            <w:tcW w:type="dxa" w:w="2556"/>
          </w:tcPr>
          <w:p>
            <w:r>
              <w:t>New-use audit</w:t>
            </w:r>
          </w:p>
        </w:tc>
        <w:tc>
          <w:tcPr>
            <w:tcW w:type="dxa" w:w="2556"/>
          </w:tcPr>
          <w:p>
            <w:r>
              <w:t>Dim</w:t>
            </w:r>
          </w:p>
        </w:tc>
        <w:tc>
          <w:tcPr>
            <w:tcW w:type="dxa" w:w="2556"/>
          </w:tcPr>
          <w:p>
            <w:r>
              <w:t>80</w:t>
            </w:r>
          </w:p>
        </w:tc>
        <w:tc>
          <w:tcPr>
            <w:tcW w:type="dxa" w:w="2556"/>
          </w:tcPr>
          <w:p>
            <w:r>
              <w:t>40</w:t>
            </w:r>
          </w:p>
        </w:tc>
      </w:tr>
    </w:tbl>
    <w:p>
      <w:r>
        <w:t>Clear accuracy is 72 / 80 = 90 percent in development and 18 / 20 = 90 percent in new use. Dim accuracy is 10 / 20 = 50 percent and 40 / 80 = 50 percent. The observed group rates are unchanged, but the group proportions are different.</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Development accuracy is (72 + 10) / (80 + 20) = 82 percent. New-use accuracy is (18 + 40) / (20 + 80) = 58 percent. The drop is 24 percentage points. Taking the unweighted mean of 90 and 50 gives 70 percent, which is not either cohort’s overall accuracy because neither cohort has equal group sizes.</w:t>
      </w:r>
    </w:p>
    <w:p>
      <w:r>
        <w:rPr>
          <w:rFonts w:ascii="Courier New" w:hAnsi="Courier New"/>
          <w:sz w:val="18"/>
        </w:rPr>
        <w:t>def accuracy(groups):</w:t>
        <w:br/>
        <w:t xml:space="preserve">    if not groups:</w:t>
        <w:br/>
        <w:t xml:space="preserve">        raise ValueError("Need at least one group")</w:t>
        <w:br/>
        <w:t xml:space="preserve">    total = correct = 0</w:t>
        <w:br/>
        <w:t xml:space="preserve">    for n, k in groups:</w:t>
        <w:br/>
        <w:t xml:space="preserve">        if n &lt;= 0 or not 0 &lt;= k &lt;= n:</w:t>
        <w:br/>
        <w:t xml:space="preserve">            raise ValueError("Invalid group counts")</w:t>
        <w:br/>
        <w:t xml:space="preserve">        total += n</w:t>
        <w:br/>
        <w:t xml:space="preserve">        correct += k</w:t>
        <w:br/>
        <w:t xml:space="preserve">    return correct / total</w:t>
        <w:br/>
        <w:br/>
        <w:t>development = [(80, 72), (20, 10)]</w:t>
        <w:br/>
        <w:t>new_use = [(20, 18), (80, 40)]</w:t>
        <w:br/>
        <w:t>old = accuracy(development)</w:t>
        <w:br/>
        <w:t>new = accuracy(new_use)</w:t>
        <w:br/>
        <w:t>print(round(100 * old, 1))  # 82.0</w:t>
        <w:br/>
        <w:t>print(round(100 * new, 1))  # 58.0</w:t>
        <w:br/>
        <w:t>print(round(100 * (old - new), 1))  # 24.0</w:t>
      </w:r>
    </w:p>
    <w:p>
      <w:r>
        <w:t>Each pair is (cases, correct), and the function assumes integer counts for non-overlapping groups. It rejects empty inputs, groups with no cases and impossible correct counts. A group with no observed cases has an undefined empirical accuracy, not zero accuracy. Do not count the same example in two groups when forming an overall total.</w:t>
      </w:r>
    </w:p>
    <w:p>
      <w:r>
        <w:t>Equivalently, weight each group accuracy by its share of cases: development is 0.80 times 0.90 + 0.20 times 0.50 = 0.82; new use is 0.20 times 0.90 + 0.80 times 0.50 = 0.58.</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Calculate overall correct counts, accuracy and errors in both cohorts, plus the percentage-point drop. Explain why averaging 90 percent and 50 percent without weights gives the wrong overall result here.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New-use mix returns to40 bright and 10 dim with the same slice rates.</w:t>
      </w:r>
    </w:p>
    <w:p>
      <w:r>
        <w:t>Prediction: Pooled accuracy returns to74%.</w:t>
      </w:r>
    </w:p>
    <w:p>
      <w:r>
        <w:t>Reason: The mixture weights change, while each slice’s conditional performance stays fixed.</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Dataset shift</w:t>
            </w:r>
          </w:p>
        </w:tc>
        <w:tc>
          <w:tcPr>
            <w:tcW w:type="dxa" w:w="5112"/>
          </w:tcPr>
          <w:p>
            <w:r>
              <w:t>A change in the distribution of inputs, labels or their relationship between settings</w:t>
            </w:r>
          </w:p>
        </w:tc>
      </w:tr>
      <w:tr>
        <w:tc>
          <w:tcPr>
            <w:tcW w:type="dxa" w:w="5112"/>
          </w:tcPr>
          <w:p>
            <w:r>
              <w:t>Subgroup</w:t>
            </w:r>
          </w:p>
        </w:tc>
        <w:tc>
          <w:tcPr>
            <w:tcW w:type="dxa" w:w="5112"/>
          </w:tcPr>
          <w:p>
            <w:r>
              <w:t>A declared subset of examples sharing a relevant condition</w:t>
            </w:r>
          </w:p>
        </w:tc>
      </w:tr>
      <w:tr>
        <w:tc>
          <w:tcPr>
            <w:tcW w:type="dxa" w:w="5112"/>
          </w:tcPr>
          <w:p>
            <w:r>
              <w:t>Group mix</w:t>
            </w:r>
          </w:p>
        </w:tc>
        <w:tc>
          <w:tcPr>
            <w:tcW w:type="dxa" w:w="5112"/>
          </w:tcPr>
          <w:p>
            <w:r>
              <w:t>The proportions of examples belonging to different groups</w:t>
            </w:r>
          </w:p>
        </w:tc>
      </w:tr>
      <w:tr>
        <w:tc>
          <w:tcPr>
            <w:tcW w:type="dxa" w:w="5112"/>
          </w:tcPr>
          <w:p>
            <w:r>
              <w:t>Monitoring</w:t>
            </w:r>
          </w:p>
        </w:tc>
        <w:tc>
          <w:tcPr>
            <w:tcW w:type="dxa" w:w="5112"/>
          </w:tcPr>
          <w:p>
            <w:r>
              <w:t>Repeatedly checking recorded inputs, outputs and available outcomes against a reference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The same group rates meet a different mix</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Group</w:t>
            </w:r>
          </w:p>
        </w:tc>
        <w:tc>
          <w:tcPr>
            <w:tcW w:type="dxa" w:w="3408"/>
          </w:tcPr>
          <w:p>
            <w:r>
              <w:t>Development share</w:t>
            </w:r>
          </w:p>
        </w:tc>
        <w:tc>
          <w:tcPr>
            <w:tcW w:type="dxa" w:w="3408"/>
          </w:tcPr>
          <w:p>
            <w:r>
              <w:t>New-use share</w:t>
            </w:r>
          </w:p>
        </w:tc>
      </w:tr>
      <w:tr>
        <w:tc>
          <w:tcPr>
            <w:tcW w:type="dxa" w:w="3408"/>
          </w:tcPr>
          <w:p>
            <w:r>
              <w:t>Clear, 90% correct</w:t>
            </w:r>
          </w:p>
        </w:tc>
        <w:tc>
          <w:tcPr>
            <w:tcW w:type="dxa" w:w="3408"/>
          </w:tcPr>
          <w:p>
            <w:r>
              <w:t>80 of 100</w:t>
            </w:r>
          </w:p>
        </w:tc>
        <w:tc>
          <w:tcPr>
            <w:tcW w:type="dxa" w:w="3408"/>
          </w:tcPr>
          <w:p>
            <w:r>
              <w:t>20 of 100</w:t>
            </w:r>
          </w:p>
        </w:tc>
      </w:tr>
      <w:tr>
        <w:tc>
          <w:tcPr>
            <w:tcW w:type="dxa" w:w="3408"/>
          </w:tcPr>
          <w:p>
            <w:r>
              <w:t>Dim, 50% correct</w:t>
            </w:r>
          </w:p>
        </w:tc>
        <w:tc>
          <w:tcPr>
            <w:tcW w:type="dxa" w:w="3408"/>
          </w:tcPr>
          <w:p>
            <w:r>
              <w:t>20 of 100</w:t>
            </w:r>
          </w:p>
        </w:tc>
        <w:tc>
          <w:tcPr>
            <w:tcW w:type="dxa" w:w="3408"/>
          </w:tcPr>
          <w:p>
            <w:r>
              <w:t>80 of 100</w:t>
            </w:r>
          </w:p>
        </w:tc>
      </w:tr>
    </w:tbl>
    <w:p>
      <w:r>
        <w:t>The weaker group becomes more common. Overall mistakes rise from 18 of 100 to 42 of 100 without any change in these observed within-group accuracy rates.</w:t>
      </w:r>
    </w:p>
    <w:p>
      <w:r>
        <w:t>The arithmetic explains this constructed aggregate difference. It does not prove that dim lighting caused each real error or that these group rates will stay fixed in future samples. Report group counts and uncertainty about generalisation. Review specific errors and reference labels as in Week 29.</w:t>
      </w:r>
    </w:p>
    <w:p>
      <w:pPr>
        <w:pStyle w:val="Heading3"/>
      </w:pPr>
      <w:r>
        <w:t>If a new cohort has 50 clear and 50 dim cases, and exactly 90 percent and 50 percent are correct respectively, how many correct cases and what overall accuracy result? State the assumption behind this calculation.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Dataset shift in neural models</w:t>
      </w:r>
    </w:p>
    <w:p>
      <w:r>
        <w:t>Separate within-setting performance from changing setting proportions.</w:t>
      </w:r>
    </w:p>
    <w:p>
      <w:pPr>
        <w:pStyle w:val="Heading3"/>
      </w:pPr>
      <w:r>
        <w:t>The facts we will use</w:t>
      </w:r>
    </w:p>
    <w:p>
      <w:r>
        <w:t>Toy old-use mix: bright 40 cases32 correct; dim 10 cases5 correct. New-use mix: bright 10 cases8 correct; dim 40 cases20 correct.</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621314"/>
            <wp:docPr id="1" name="Picture 1" descr="Fixed slice rates, changed pooled accuracy"/>
            <wp:cNvGraphicFramePr>
              <a:graphicFrameLocks noChangeAspect="1"/>
            </wp:cNvGraphicFramePr>
            <a:graphic>
              <a:graphicData uri="http://schemas.openxmlformats.org/drawingml/2006/picture">
                <pic:pic>
                  <pic:nvPicPr>
                    <pic:cNvPr id="0" name="academy-detail-ai-5-30.png"/>
                    <pic:cNvPicPr/>
                  </pic:nvPicPr>
                  <pic:blipFill>
                    <a:blip r:embed="rId9"/>
                    <a:stretch>
                      <a:fillRect/>
                    </a:stretch>
                  </pic:blipFill>
                  <pic:spPr>
                    <a:xfrm>
                      <a:off x="0" y="0"/>
                      <a:ext cx="5486400" cy="3621314"/>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Dataset shift in neural models. Keep slice rates: Bright is 80% in both mixes; dim is 50% in both.. Old pooled rate: Old accuracy 37/50=74%.. New pooled rate: New accuracy 28/50=56%; more use now occurs in the harder dim setting."/>
            <wp:cNvGraphicFramePr>
              <a:graphicFrameLocks noChangeAspect="1"/>
            </wp:cNvGraphicFramePr>
            <a:graphic>
              <a:graphicData uri="http://schemas.openxmlformats.org/drawingml/2006/picture">
                <pic:pic>
                  <pic:nvPicPr>
                    <pic:cNvPr id="0" name="academy-visual-ai-5-30.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Keep slice rates</w:t>
            </w:r>
          </w:p>
        </w:tc>
        <w:tc>
          <w:tcPr>
            <w:tcW w:type="dxa" w:w="5112"/>
          </w:tcPr>
          <w:p>
            <w:r>
              <w:t>Bright is 80% in both mixes; dim is 50% in both.</w:t>
            </w:r>
          </w:p>
        </w:tc>
      </w:tr>
      <w:tr>
        <w:tc>
          <w:tcPr>
            <w:tcW w:type="dxa" w:w="5112"/>
          </w:tcPr>
          <w:p>
            <w:r>
              <w:t>2. Old pooled rate</w:t>
            </w:r>
          </w:p>
        </w:tc>
        <w:tc>
          <w:tcPr>
            <w:tcW w:type="dxa" w:w="5112"/>
          </w:tcPr>
          <w:p>
            <w:r>
              <w:t>Old accuracy 37/50=74%.</w:t>
            </w:r>
          </w:p>
        </w:tc>
      </w:tr>
      <w:tr>
        <w:tc>
          <w:tcPr>
            <w:tcW w:type="dxa" w:w="5112"/>
          </w:tcPr>
          <w:p>
            <w:r>
              <w:t>3. New pooled rate</w:t>
            </w:r>
          </w:p>
        </w:tc>
        <w:tc>
          <w:tcPr>
            <w:tcW w:type="dxa" w:w="5112"/>
          </w:tcPr>
          <w:p>
            <w:r>
              <w:t>New accuracy 28/50=56%; more use now occurs in the harder dim setting.</w:t>
            </w:r>
          </w:p>
        </w:tc>
      </w:tr>
    </w:tbl>
    <w:p>
      <w:r>
        <w:t>Match each pictured step to the supplied facts. This is a worked teaching case, not an independent assessment.</w:t>
      </w:r>
    </w:p>
    <w:p>
      <w:pPr>
        <w:pStyle w:val="Heading3"/>
      </w:pPr>
      <w:r>
        <w:t>Why this result follows</w:t>
      </w:r>
    </w:p>
    <w:p>
      <w:r>
        <w:t>A pooled rate depends on how often each condition appears as well as performance within that condition. Bright and dim accuracy stay fixed in this example. The new use contains more dim cases, so its pooled accuracy falls. Report both group counts and group rates before concluding that the network itself deteriorated.</w:t>
      </w:r>
    </w:p>
    <w:p>
      <w:pPr>
        <w:pStyle w:val="Heading3"/>
      </w:pPr>
      <w:r>
        <w:t>What this example does not establish</w:t>
      </w:r>
    </w:p>
    <w:p>
      <w:r>
        <w:t>Real shift can also change labels, sensors and within-slice behaviour; this toy decomposition isolates only mixture change.</w:t>
      </w:r>
    </w:p>
    <w:p>
      <w:pPr>
        <w:pStyle w:val="Heading1"/>
      </w:pPr>
      <w:r>
        <w:t>07. Find and repair a mistake</w:t>
      </w:r>
    </w:p>
    <w:p>
      <w:r>
        <w:t>Start with model and input-pipeline version checks. A changed resize operation, channel order or unit conversion is an implementation change, not evidence that the input population itself shifted. Compare image conditions, missing values, source groups and label definitions. A neural network may have learned a shortcut tied to a background or capture condition; that is a hypothesis to test, not a conclusion from a histogram.</w:t>
      </w:r>
    </w:p>
    <w:p>
      <w:r>
        <w:t>Input monitoring without new reference labels can reveal a changed group mix. It cannot calculate current accuracy or prove that the relationship between inputs and labels stayed the same. Conversely, stable input summaries can miss a changed labelling policy. Obtain a representative, correctly labelled audit sample and document unresolved label quality.</w:t>
      </w:r>
    </w:p>
    <w:p>
      <w:r>
        <w:t>For a controlled lighting study, keep scene identity and the label fixed while varying lighting. Keep related images together in one split. If new data guide retraining or threshold choices, they are development data; reserve separate source groups or a later appropriate time period for final evaluation. More data alone do not guarantee that a shortcut is removed.</w:t>
      </w:r>
    </w:p>
    <w:p>
      <w:pPr>
        <w:pStyle w:val="Heading3"/>
      </w:pPr>
      <w:r>
        <w:t>Locate the earliest unsupported step</w:t>
      </w:r>
    </w:p>
    <w:p>
      <w:r>
        <w:t>New-use monitoring shows more dim images but reference labels have not arrived. What can you report now, what can you not calculate, and what checks should precede blaming the neural network?</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From the table, calculate clear and dim accuracy in each cohort and the clear/dim proportions. Which observed quantities change, and which remain the same?</w:t>
      </w:r>
    </w:p>
    <w:p>
      <w:pPr>
        <w:pStyle w:val="Heading3"/>
      </w:pPr>
      <w:r>
        <w:t>If a new cohort has 50 clear and 50 dim cases, and exactly 90 percent and 50 percent are correct respectively, how many correct cases and what overall accuracy result? State the assumption behind this calculation.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Use the right denominator</w:t>
      </w:r>
    </w:p>
    <w:p>
      <w:r>
        <w:t>Use workbook W2 for the connected example “Dataset shift in neural models”.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Dataset shift in neural models. Proposed explanation: “Average the percentages regardless of group sizes”.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Did the supplied model’s dim-light accuracy deteriorate?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Calculate overall correct counts, accuracy and errors in both cohorts, plus the percentage-point drop. Explain why averaging 90 percent and 50 percent without weights gives the wrong overall result here.</w:t>
      </w:r>
    </w:p>
    <w:p>
      <w:r>
        <w:rPr>
          <w:rFonts w:ascii="Courier New" w:hAnsi="Courier New"/>
          <w:sz w:val="18"/>
        </w:rPr>
        <w:t>def accuracy(groups):</w:t>
        <w:br/>
        <w:t xml:space="preserve">    if not groups:</w:t>
        <w:br/>
        <w:t xml:space="preserve">        raise ValueError("Need at least one group")</w:t>
        <w:br/>
        <w:t xml:space="preserve">    total = correct = 0</w:t>
        <w:br/>
        <w:t xml:space="preserve">    for n, k in groups:</w:t>
        <w:br/>
        <w:t xml:space="preserve">        if n &lt;= 0 or not 0 &lt;= k &lt;= n:</w:t>
        <w:br/>
        <w:t xml:space="preserve">            raise ValueError("Invalid group counts")</w:t>
        <w:br/>
        <w:t xml:space="preserve">        total += n</w:t>
        <w:br/>
        <w:t xml:space="preserve">        correct += k</w:t>
        <w:br/>
        <w:t xml:space="preserve">    return correct / total</w:t>
        <w:br/>
        <w:br/>
        <w:t>development = [(80, 72), (20, 10)]</w:t>
        <w:br/>
        <w:t>new_use = [(20, 18), (80, 40)]</w:t>
        <w:br/>
        <w:t>old = accuracy(development)</w:t>
        <w:br/>
        <w:t>new = accuracy(new_use)</w:t>
        <w:br/>
        <w:t>print(round(100 * old, 1))  # 82.0</w:t>
        <w:br/>
        <w:t>print(round(100 * new, 1))  # 58.0</w:t>
        <w:br/>
        <w:t>print(round(100 * (old - new), 1))  # 24.0</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From the table, calculate clear and dim accuracy in each cohort and the clear/dim proportions. Which observed quantities change, and which remain the same?</w:t>
      </w:r>
    </w:p>
    <w:p>
      <w:r>
        <w:t>New-use monitoring shows more dim images but reference labels have not arrived. What can you report now, what can you not calculate, and what checks should precede blaming the neural network?</w:t>
      </w:r>
    </w:p>
    <w:p>
      <w:r>
        <w:t>A team retrains using new-use errors, then evaluates on those same images and their brightened copies. Explain why the score is not independent evidence and propose a comparison that includes the original model.</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dataset shift in neural models evidence sheet to Image-pattern Network Investigation. Show how you can explain how a changed input mix can change overall accuracy.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Possible responses include fixing a confirmed pipeline bug, gathering missing training coverage, changing a representation or routing some cases for review. Choose a response based on evidence. Compare the original and revised model on identical reserved cases, report both group and overall results, and measure review workload if a review policy is used. Preserve the original checkpoint for comparison.</w:t>
      </w:r>
    </w:p>
    <w:p>
      <w:pPr>
        <w:pStyle w:val="Heading3"/>
      </w:pPr>
      <w:r>
        <w:t>A team sees more dim images but has no new reference labels. It announces accuracy has fallen, retrains, and claims success using the same cases that guided its changes. Identify what is known, what is missing and how to repair the evaluation.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the reference period, group definitions, model and pipeline versions, counts, available labels, decisions and follow-up outcomes. Avoid silently replacing the baseline or the evaluation set. Next week measures efficiency and resource use alongside model quality.</w:t>
      </w:r>
    </w:p>
    <w:p>
      <w:r>
        <w:t>A team retrains using new-use errors, then evaluates on those same images and their brightened copies. Explain why the score is not independent evidence and propose a comparison that includes the original model.</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The same group rates meet a different mix</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Group</w:t>
            </w:r>
          </w:p>
        </w:tc>
        <w:tc>
          <w:tcPr>
            <w:tcW w:type="dxa" w:w="3408"/>
          </w:tcPr>
          <w:p>
            <w:r>
              <w:t>Development share</w:t>
            </w:r>
          </w:p>
        </w:tc>
        <w:tc>
          <w:tcPr>
            <w:tcW w:type="dxa" w:w="3408"/>
          </w:tcPr>
          <w:p>
            <w:r>
              <w:t>New-use share</w:t>
            </w:r>
          </w:p>
        </w:tc>
      </w:tr>
      <w:tr>
        <w:tc>
          <w:tcPr>
            <w:tcW w:type="dxa" w:w="3408"/>
          </w:tcPr>
          <w:p>
            <w:r>
              <w:t>Clear, 90% correct</w:t>
            </w:r>
          </w:p>
        </w:tc>
        <w:tc>
          <w:tcPr>
            <w:tcW w:type="dxa" w:w="3408"/>
          </w:tcPr>
          <w:p>
            <w:r>
              <w:t>80 of 100</w:t>
            </w:r>
          </w:p>
        </w:tc>
        <w:tc>
          <w:tcPr>
            <w:tcW w:type="dxa" w:w="3408"/>
          </w:tcPr>
          <w:p>
            <w:r>
              <w:t>20 of 100</w:t>
            </w:r>
          </w:p>
        </w:tc>
      </w:tr>
      <w:tr>
        <w:tc>
          <w:tcPr>
            <w:tcW w:type="dxa" w:w="3408"/>
          </w:tcPr>
          <w:p>
            <w:r>
              <w:t>Dim, 50% correct</w:t>
            </w:r>
          </w:p>
        </w:tc>
        <w:tc>
          <w:tcPr>
            <w:tcW w:type="dxa" w:w="3408"/>
          </w:tcPr>
          <w:p>
            <w:r>
              <w:t>20 of 100</w:t>
            </w:r>
          </w:p>
        </w:tc>
        <w:tc>
          <w:tcPr>
            <w:tcW w:type="dxa" w:w="3408"/>
          </w:tcPr>
          <w:p>
            <w:r>
              <w:t>80 of 100</w:t>
            </w:r>
          </w:p>
        </w:tc>
      </w:tr>
    </w:tbl>
    <w:p>
      <w:r>
        <w:t>The weaker group becomes more common. Overall mistakes rise from 18 of 100 to 42 of 100 without any change in these observed within-group accuracy rates.</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Analyse a new mixture independently</w:t>
      </w:r>
    </w:p>
    <w:p>
      <w:r>
        <w:t>A separate audit has development groups P: 60 cases, 48 correct and Q: 40 cases, 20 correct. New-use groups are P: 20 cases, 16 correct and Q: 80 cases, 40 correct. Compute each group rate, both overall accuracies, and the percentage-point change. Under the same group rates, what accuracy would equal-sized P and Q groups have?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A separate audit has development groups P: 60 cases, 48 correct and Q: 40 cases, 20 correct. New-use groups are P: 20 cases, 16 correct and Q: 80 cases, 40 correct. Compute each group rate, both overall accuracies, and the percentage-point change. Under the same group rates, what accuracy would equal-sized P and Q groups have?</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