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w:t>
      </w:r>
    </w:p>
    <w:p>
      <w:pPr>
        <w:pStyle w:val="Title"/>
      </w:pPr>
      <w:r>
        <w:t>Architecture and data flow</w:t>
      </w:r>
    </w:p>
    <w:p>
      <w:r>
        <w:t>Project: Grounded Learning Service</w:t>
      </w:r>
    </w:p>
    <w:p>
      <w:pPr>
        <w:pStyle w:val="Heading1"/>
      </w:pPr>
      <w:r>
        <w:t>Before you start</w:t>
      </w:r>
    </w:p>
    <w:p>
      <w:r>
        <w:t>Recall Requirements and service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architecture and data flow.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Retrieve what you already know</w:t>
      </w:r>
    </w:p>
    <w:p>
      <w:r>
        <w:t>Recall Requirements and service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architecture and data flow using the deciding step in this fictional service.</w:t>
      </w:r>
    </w:p>
    <w:p>
      <w:pPr>
        <w:pStyle w:val="Heading1"/>
      </w:pPr>
      <w:r>
        <w:t>02. Notice the evidence</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validator -&gt; role filter -&gt; source lookup -&gt; response validator -&gt; result. Sources enter as data, not control instructions. Reject invalid requests before any downstream lookup.</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 bypasses the role filter and sends teacher records directly to a generator.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pPr>
        <w:pStyle w:val="Heading1"/>
      </w:pPr>
      <w:r>
        <w:t>07. Find and repair a mistake</w:t>
      </w:r>
    </w:p>
    <w:p>
      <w:r>
        <w:t>A component diagram is a plan, not evidence that the running implementation enforces its arrows.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“Architecture and data flow”.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Architecture and data flow.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what moves along the library request, retrieval and drafting arrows. Where does 17:30 come from, and why must the service stop if the retrieval arrow is disconnected?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 bypasses the role filter and sends teacher records directly to a generator.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component diagram is a plan, not evidence that the running implementation enforces its arrows.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Input is malformed, yet lookup runs and then a validator rejects output. Locate the first stage that should stop.</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