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ai-6/17</w:t>
      </w:r>
    </w:p>
    <w:p>
      <w:pPr>
        <w:pStyle w:val="Title"/>
      </w:pPr>
      <w:r>
        <w:t>External side effects and recovery</w:t>
      </w:r>
    </w:p>
    <w:p>
      <w:r>
        <w:t>Project: Grounded Learning Service</w:t>
      </w:r>
    </w:p>
    <w:p>
      <w:pPr>
        <w:pStyle w:val="Heading1"/>
      </w:pPr>
      <w:r>
        <w:t>Before you start</w:t>
      </w:r>
    </w:p>
    <w:p>
      <w:r>
        <w:t>Recall Timeouts retries and cancellation.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external side effects and recovery.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Timeouts retries and cancellation. Give an example and a mistake that the idea helps you avoid.</w:t>
      </w:r>
    </w:p>
    <w:p>
      <w:r>
        <w:t>Without opening the old lesson, explain one key idea from Planning and action selection. Give an example and a mistake that the idea helps you avoid.</w:t>
      </w:r>
    </w:p>
    <w:p>
      <w:r>
        <w:t>Without opening the old lesson, explain one key idea from Failure budgets and service objectives.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Retrieve what you already know</w:t>
      </w:r>
    </w:p>
    <w:p>
      <w:r>
        <w:t>Recall Timeouts retries and cancellation.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external side effects and recovery using the deciding step in this fictional service.</w:t>
      </w:r>
    </w:p>
    <w:p>
      <w:pPr>
        <w:pStyle w:val="Heading1"/>
      </w:pPr>
      <w:r>
        <w:t>02. Notice the evidence</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ledger records prepared, committed or unknown per operation ID. Retry a committed operation by returning its result; reconcile unknown status instead of assuming failure. Preserve compensation as a separate authorised action.</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booking is committed in storage, but response delivery times out. Caller asks to repeat.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pPr>
        <w:pStyle w:val="Heading1"/>
      </w:pPr>
      <w:r>
        <w:t>07. Find and repair a mistake</w:t>
      </w:r>
    </w:p>
    <w:p>
      <w:r>
        <w:t>A compensating action is itself a side effect requiring authority; recovery does not silently permit deletion or refund.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“External side effects and recovery”.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a missing printer acknowledgement from confirmed failure. What should happen if J6 is complete, and what evidence changes when J6 is reliably reported absent?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booking is committed in storage, but response delivery times out. Caller asks to repeat.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payment-like classroom token transfer has unknown status after network loss. Should the mock repeat immediately?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