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ai-6/25</w:t>
      </w:r>
    </w:p>
    <w:p>
      <w:pPr>
        <w:pStyle w:val="Title"/>
      </w:pPr>
      <w:r>
        <w:t>Monitoring quality drift</w:t>
      </w:r>
    </w:p>
    <w:p>
      <w:r>
        <w:t>Project: Grounded Learning Service</w:t>
      </w:r>
    </w:p>
    <w:p>
      <w:pPr>
        <w:pStyle w:val="Heading1"/>
      </w:pPr>
      <w:r>
        <w:t>Before you start</w:t>
      </w:r>
    </w:p>
    <w:p>
      <w:r>
        <w:t>Recall Release and rollback.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monitoring quality drift.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Release and rollback. Give an example and a mistake that the idea helps you avoid.</w:t>
      </w:r>
    </w:p>
    <w:p>
      <w:r>
        <w:t>Without opening the old lesson, explain one key idea from Queues and asynchronous work. Give an example and a mistake that the idea helps you avoid.</w:t>
      </w:r>
    </w:p>
    <w:p>
      <w:r>
        <w:t>Without opening the old lesson, explain one key idea from Sandboxing and resource limits.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monitoring quality drift</w:t>
      </w:r>
    </w:p>
    <w:p>
      <w:r>
        <w:t>Apply the stated procedure to a new case with a traceable result</w:t>
      </w:r>
    </w:p>
    <w:p>
      <w:r>
        <w:t>Identify an assumption or limitation and design a revealing follow-up</w:t>
      </w:r>
    </w:p>
    <w:p>
      <w:pPr>
        <w:pStyle w:val="Heading3"/>
      </w:pPr>
      <w:r>
        <w:t>Retrieve what you already know</w:t>
      </w:r>
    </w:p>
    <w:p>
      <w:r>
        <w:t>Recall Release and rollback.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monitoring quality drift using the deciding step in this fictional service.</w:t>
      </w:r>
    </w:p>
    <w:p>
      <w:pPr>
        <w:pStyle w:val="Heading1"/>
      </w:pPr>
      <w:r>
        <w:t>02. Notice the evidence</w:t>
      </w:r>
    </w:p>
    <w:p>
      <w:r>
        <w:t>Monitoring compares current outcomes with a declared reference and sampling protocol. A change in observed quality may reflect case mix or instrumentation.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each window report eligible counts, passes, missing outcomes and condition mix. Alert when success falls below the toy80% threshold; investigate before attributing cause.</w:t>
      </w:r>
    </w:p>
    <w:p>
      <w:pPr>
        <w:pStyle w:val="Heading3"/>
      </w:pPr>
      <w:r>
        <w:t>Monitoring quality drift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Reference window passes18/20; new window14/20.</w:t>
            </w:r>
          </w:p>
        </w:tc>
        <w:tc>
          <w:tcPr>
            <w:tcW w:type="dxa" w:w="3408"/>
          </w:tcPr>
          <w:p>
            <w:r>
              <w:t>For each window report eligible counts, passes, missing outcomes and condition mix. Alert when success falls below the toy80% threshold; investigate before attributing cause.</w:t>
            </w:r>
          </w:p>
        </w:tc>
        <w:tc>
          <w:tcPr>
            <w:tcW w:type="dxa" w:w="3408"/>
          </w:tcPr>
          <w:p>
            <w:r>
              <w:t>90% versus70%, drop20 percentage points; new window breaches80%. Check case mix, data versions and logs before asserting model drift as the cause.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Reference window passes18/20; new window14/20.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Week B has no ambiguous questions.</w:t>
      </w:r>
    </w:p>
    <w:p>
      <w:r>
        <w:t>Prediction: That slice is unmeasured, not perfectly correct.</w:t>
      </w:r>
    </w:p>
    <w:p>
      <w:r>
        <w:t>Reason: No observations means no rate can be calculated for it.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Monitoring window</w:t>
            </w:r>
          </w:p>
        </w:tc>
        <w:tc>
          <w:tcPr>
            <w:tcW w:type="dxa" w:w="5112"/>
          </w:tcPr>
          <w:p>
            <w:r>
              <w:t>The declared interval or batch for measurement</w:t>
            </w:r>
          </w:p>
        </w:tc>
      </w:tr>
      <w:tr>
        <w:tc>
          <w:tcPr>
            <w:tcW w:type="dxa" w:w="5112"/>
          </w:tcPr>
          <w:p>
            <w:r>
              <w:t>Drift</w:t>
            </w:r>
          </w:p>
        </w:tc>
        <w:tc>
          <w:tcPr>
            <w:tcW w:type="dxa" w:w="5112"/>
          </w:tcPr>
          <w:p>
            <w:r>
              <w:t>A change in data or behaviour relative to a reference</w:t>
            </w:r>
          </w:p>
        </w:tc>
      </w:tr>
      <w:tr>
        <w:tc>
          <w:tcPr>
            <w:tcW w:type="dxa" w:w="5112"/>
          </w:tcPr>
          <w:p>
            <w:r>
              <w:t>Alert threshold</w:t>
            </w:r>
          </w:p>
        </w:tc>
        <w:tc>
          <w:tcPr>
            <w:tcW w:type="dxa" w:w="5112"/>
          </w:tcPr>
          <w:p>
            <w:r>
              <w:t>A condition triggering investigation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Reference window passes18/20; new window14/20.</w:t>
      </w:r>
    </w:p>
    <w:p>
      <w:r>
        <w:t>90% versus70%, drop20 percentage points; new window breaches80%. Check case mix, data versions and logs before asserting model drift as the cause.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Monitoring quality drift</w:t>
      </w:r>
    </w:p>
    <w:p>
      <w:r>
        <w:t>Monitor separate question slices. A service uses the same rubric on clear and ambiguous questions in two recorded weeks.</w:t>
      </w:r>
    </w:p>
    <w:p>
      <w:pPr>
        <w:pStyle w:val="Heading3"/>
      </w:pPr>
      <w:r>
        <w:t>The facts we will use</w:t>
      </w:r>
    </w:p>
    <w:p>
      <w:r>
        <w:t>A: clear 18/20, ambiguous 8/10. B: clear 19/20, ambiguous 4/10.</w:t>
      </w:r>
    </w:p>
    <w:p>
      <w:r>
        <w:drawing>
          <wp:inline xmlns:a="http://schemas.openxmlformats.org/drawingml/2006/main" xmlns:pic="http://schemas.openxmlformats.org/drawingml/2006/picture">
            <wp:extent cx="5486400" cy="3077029"/>
            <wp:docPr id="1" name="Picture 1" descr="Quality slices: retain denominators"/>
            <wp:cNvGraphicFramePr>
              <a:graphicFrameLocks noChangeAspect="1"/>
            </wp:cNvGraphicFramePr>
            <a:graphic>
              <a:graphicData uri="http://schemas.openxmlformats.org/drawingml/2006/picture">
                <pic:pic>
                  <pic:nvPicPr>
                    <pic:cNvPr id="0" name="academy-detail-ai-6-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Monitoring quality drift. Compute slice rates: Clear rises 90%→95%; ambiguous falls 80%→40%.. Compute totals: A is 26/30; B is 23/30 correct.. Investigate ambiguity: Inspect that slice’s failures before selecting a repair."/>
            <wp:cNvGraphicFramePr>
              <a:graphicFrameLocks noChangeAspect="1"/>
            </wp:cNvGraphicFramePr>
            <a:graphic>
              <a:graphicData uri="http://schemas.openxmlformats.org/drawingml/2006/picture">
                <pic:pic>
                  <pic:nvPicPr>
                    <pic:cNvPr id="0" name="academy-visual-ai-6-25.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Clear rises 90%→95%; ambiguous falls 80%→40%.</w:t>
            </w:r>
          </w:p>
        </w:tc>
      </w:tr>
      <w:tr>
        <w:tc>
          <w:tcPr>
            <w:tcW w:type="dxa" w:w="5112"/>
          </w:tcPr>
          <w:p>
            <w:r>
              <w:t>2. Compute totals</w:t>
            </w:r>
          </w:p>
        </w:tc>
        <w:tc>
          <w:tcPr>
            <w:tcW w:type="dxa" w:w="5112"/>
          </w:tcPr>
          <w:p>
            <w:r>
              <w:t>A is 26/30; B is 23/30 correct.</w:t>
            </w:r>
          </w:p>
        </w:tc>
      </w:tr>
      <w:tr>
        <w:tc>
          <w:tcPr>
            <w:tcW w:type="dxa" w:w="5112"/>
          </w:tcPr>
          <w:p>
            <w:r>
              <w:t>3. Investigate ambiguity</w:t>
            </w:r>
          </w:p>
        </w:tc>
        <w:tc>
          <w:tcPr>
            <w:tcW w:type="dxa" w:w="5112"/>
          </w:tcPr>
          <w:p>
            <w:r>
              <w:t>Inspect that slice’s failures before selecting a repair.</w:t>
            </w:r>
          </w:p>
        </w:tc>
      </w:tr>
    </w:tbl>
    <w:p>
      <w:r>
        <w:t>Match each pictured step to the supplied facts. This is a worked teaching case, not an independent assessment.</w:t>
      </w:r>
    </w:p>
    <w:p>
      <w:pPr>
        <w:pStyle w:val="Heading3"/>
      </w:pPr>
      <w:r>
        <w:t>Why this result follows</w:t>
      </w:r>
    </w:p>
    <w:p>
      <w:r>
        <w:t>Slice monitoring exposes changes hidden by common easy questions. Retain each denominator and compare the measurement conditions.</w:t>
      </w:r>
    </w:p>
    <w:p>
      <w:pPr>
        <w:pStyle w:val="Heading3"/>
      </w:pPr>
      <w:r>
        <w:t>What this example does not establish</w:t>
      </w:r>
    </w:p>
    <w:p>
      <w:r>
        <w:t>Small samples do not establish a stable trend or cause; retain uncertainty and compare conditions.</w:t>
      </w:r>
    </w:p>
    <w:p>
      <w:pPr>
        <w:pStyle w:val="Heading1"/>
      </w:pPr>
      <w:r>
        <w:t>07. Find and repair a mistake</w:t>
      </w:r>
    </w:p>
    <w:p>
      <w:r>
        <w:t>An alert identifies a condition for investigation, not a complete causal explanation.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An alert identifies a condition for investigation, not a complete causal explanation.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“Monitoring quality drift”.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Monitoring quality drift.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both clear and ambiguous slice rates for A and B. Which slice weakens, and how should that slice be reported when no ambiguous questions are observed?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Reference window passes18/20; new window14/20.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An alert identifies a condition for investigation, not a complete causal explanation.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monitoring quality drift evidence sheet to Grounded Learning Service. Show how you can explain the mechanism and terminology of monitoring quality drift.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Monitoring quality drift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Reference window passes18/20; new window14/20.</w:t>
            </w:r>
          </w:p>
        </w:tc>
        <w:tc>
          <w:tcPr>
            <w:tcW w:type="dxa" w:w="3408"/>
          </w:tcPr>
          <w:p>
            <w:r>
              <w:t>For each window report eligible counts, passes, missing outcomes and condition mix. Alert when success falls below the toy80% threshold; investigate before attributing cause.</w:t>
            </w:r>
          </w:p>
        </w:tc>
        <w:tc>
          <w:tcPr>
            <w:tcW w:type="dxa" w:w="3408"/>
          </w:tcPr>
          <w:p>
            <w:r>
              <w:t>90% versus70%, drop20 percentage points; new window breaches80%. Check case mix, data versions and logs before asserting model drift as the cause.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Window A passes8/10; B passes12/20. Threshold70%. Compare.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Window A passes8/10; B passes12/20. Threshold70%. Compare.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