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ai-6/34</w:t>
      </w:r>
    </w:p>
    <w:p>
      <w:pPr>
        <w:pStyle w:val="Title"/>
      </w:pPr>
      <w:r>
        <w:t>Capstone failure testing</w:t>
      </w:r>
    </w:p>
    <w:p>
      <w:r>
        <w:t>Project: Grounded Learning Service</w:t>
      </w:r>
    </w:p>
    <w:p>
      <w:pPr>
        <w:pStyle w:val="Heading1"/>
      </w:pPr>
      <w:r>
        <w:t>Before you start</w:t>
      </w:r>
    </w:p>
    <w:p>
      <w:r>
        <w:t>Recall Capstone service implementation.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failure testing.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service implementation. Give an example and a mistake that the idea helps you avoid.</w:t>
      </w:r>
    </w:p>
    <w:p>
      <w:r>
        <w:t>Without opening the old lesson, explain one key idea from Red team exercises. Give an example and a mistake that the idea helps you avoid.</w:t>
      </w:r>
    </w:p>
    <w:p>
      <w:r>
        <w:t>Without opening the old lesson, explain one key idea from Accessibility and user feedback.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Retrieve what you already know</w:t>
      </w:r>
    </w:p>
    <w:p>
      <w:r>
        <w:t>Recall Capstone service implementation.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failure testing using the deciding step in this fictional service.</w:t>
      </w:r>
    </w:p>
    <w:p>
      <w:pPr>
        <w:pStyle w:val="Heading1"/>
      </w:pPr>
      <w:r>
        <w:t>02. Notice the evidence</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failure matrix linking condition to expected response and forbidden calls. Test both visible result and operation trace. Preserve failed fixtures for regression checks.</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Four cases: malformed request, student teacher-guide request, missing register, valid current record. Two deny, one reviews, one supports; no restricted reads occur.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pPr>
        <w:pStyle w:val="Heading1"/>
      </w:pPr>
      <w:r>
        <w:t>07. Find and repair a mistake</w:t>
      </w:r>
    </w:p>
    <w:p>
      <w:r>
        <w:t>A case passes only all its declared response and trace requirements, not merely a convenient status code.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case passes only all its declared response and trace requirements, not merely a convenient status code.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failure testing”.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failure testing.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retrieval success permits the checked 15:00 fallback when drafting fails. What changes if retrieval fails too, and why can a template not fill that evidence gap?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Four cases: malformed request, student teacher-guide request, missing register, valid current record. Two deny, one reviews, one supports; no restricted reads occur.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case passes only all its declared response and trace requirements, not merely a convenient status code.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Six cases: five expected outcomes pass; one denied request still performs restricted lookup. Compute case pass rate and release implication.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cases: five expected outcomes pass; one denied request still performs restricted lookup. Compute case pass rate and release implication.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