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w:t>
      </w:r>
    </w:p>
    <w:p>
      <w:pPr>
        <w:pStyle w:val="Title"/>
      </w:pPr>
      <w:r>
        <w:t>Finding primary research</w:t>
      </w:r>
    </w:p>
    <w:p>
      <w:r>
        <w:t>Project: Reproducible AI Research Study</w:t>
      </w:r>
    </w:p>
    <w:p>
      <w:pPr>
        <w:pStyle w:val="Heading1"/>
      </w:pPr>
      <w:r>
        <w:t>Before you start</w:t>
      </w:r>
    </w:p>
    <w:p>
      <w:r>
        <w:t>Recall Reading a research claim.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finding primary research.</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Retrieve what you already know</w:t>
      </w:r>
    </w:p>
    <w:p>
      <w:r>
        <w:t>Recall Reading a research claim.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finding primary research using the records and boundaries of this fictional investigation.</w:t>
      </w:r>
    </w:p>
    <w:p>
      <w:pPr>
        <w:pStyle w:val="Heading1"/>
      </w:pPr>
      <w:r>
        <w:t>02. Notice the evidence</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title, authors, version, date, identifier and access location. Distinguish paper, code, data and commentary. Verify that a quoted claim belongs to the cited version.</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blog says experiment had100 cases; original methods say40 and supplementary version says60 after revision.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pPr>
        <w:pStyle w:val="Heading1"/>
      </w:pPr>
      <w:r>
        <w:t>07. Find and repair a mistake</w:t>
      </w:r>
    </w:p>
    <w:p>
      <w:r>
        <w:t>Being primary does not guarantee soundness; methods and evidence still require assessment.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“Finding primary research”.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Finding primary research.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Separate what the blog claims from what the original report records. Which methods and denominator must be inspected, and what status is honest if the original report is unavailable?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blog says experiment had100 cases; original methods say40 and supplementary version says60 after revision.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Being primary does not guarantee soundness; methods and evidence still require assessment.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search result describes a benchmark score, but the linked paper uses a different dataset. What should the comparison record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