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ai-7/18</w:t>
      </w:r>
    </w:p>
    <w:p>
      <w:pPr>
        <w:pStyle w:val="Title"/>
      </w:pPr>
      <w:r>
        <w:t>Dataset and benchmark limitations</w:t>
      </w:r>
    </w:p>
    <w:p>
      <w:r>
        <w:t>Project: Reproducible AI Research Study</w:t>
      </w:r>
    </w:p>
    <w:p>
      <w:pPr>
        <w:pStyle w:val="Heading1"/>
      </w:pPr>
      <w:r>
        <w:t>Before you start</w:t>
      </w:r>
    </w:p>
    <w:p>
      <w:r>
        <w:t>Recall Sensitivity analysis.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dataset and benchmark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Sensitivity analysis. Give an example and a mistake that the idea helps you avoid.</w:t>
      </w:r>
    </w:p>
    <w:p>
      <w:r>
        <w:t>Without opening the old lesson, explain one key idea from Multiple comparisons. Give an example and a mistake that the idea helps you avoid.</w:t>
      </w:r>
    </w:p>
    <w:p>
      <w:r>
        <w:t>Without opening the old lesson, explain one key idea from Uncertainty intervals.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Sensitivity analysis.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dataset and benchmark limitations using the records and boundaries of this fictional investigation.</w:t>
      </w:r>
    </w:p>
    <w:p>
      <w:pPr>
        <w:pStyle w:val="Heading1"/>
      </w:pPr>
      <w:r>
        <w:t>02. Notice the evidence</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Inspect eligibility, source dates, related units and label definitions before scoring. Deduplicate by declared unit identity, not merely file name; report excluded and unassessed cases.</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Ten benchmark rows include three copies of one source and seven other unique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pPr>
        <w:pStyle w:val="Heading1"/>
      </w:pPr>
      <w:r>
        <w:t>07. Find and repair a mistake</w:t>
      </w:r>
    </w:p>
    <w:p>
      <w:r>
        <w:t>Benchmark success does not establish performance on a deployment population missing from its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“Dataset and benchmark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Report the indoor benchmark with its denominator and missing condition. After two correct outdoor cases out of four are added, what slice rate is supported and what remains uncertain?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Ten benchmark rows include three copies of one source and seven other unique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Benchmark success does not establish performance on a deployment population missing from its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rows include four copies of one source and eight others. Count unique units and name one coverage concern.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