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ai-7/20</w:t>
      </w:r>
    </w:p>
    <w:p>
      <w:pPr>
        <w:pStyle w:val="Title"/>
      </w:pPr>
      <w:r>
        <w:t>Privacy and data governance</w:t>
      </w:r>
    </w:p>
    <w:p>
      <w:r>
        <w:t>Project: Reproducible AI Research Study</w:t>
      </w:r>
    </w:p>
    <w:p>
      <w:pPr>
        <w:pStyle w:val="Heading1"/>
      </w:pPr>
      <w:r>
        <w:t>Before you start</w:t>
      </w:r>
    </w:p>
    <w:p>
      <w:r>
        <w:t>Recall Research ethics and consent.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privacy and data governance.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Research ethics and consent. Give an example and a mistake that the idea helps you avoid.</w:t>
      </w:r>
    </w:p>
    <w:p>
      <w:r>
        <w:t>Without opening the old lesson, explain one key idea from Sensitivity analysis. Give an example and a mistake that the idea helps you avoid.</w:t>
      </w:r>
    </w:p>
    <w:p>
      <w:r>
        <w:t>Without opening the old lesson, explain one key idea from Statistical tests and assumptions.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privacy and data governance</w:t>
      </w:r>
    </w:p>
    <w:p>
      <w:r>
        <w:t>Apply the stated procedure to a new case with a traceable result</w:t>
      </w:r>
    </w:p>
    <w:p>
      <w:r>
        <w:t>Identify an assumption or limitation and design a revealing follow-up</w:t>
      </w:r>
    </w:p>
    <w:p>
      <w:pPr>
        <w:pStyle w:val="Heading3"/>
      </w:pPr>
      <w:r>
        <w:t>Retrieve what you already know</w:t>
      </w:r>
    </w:p>
    <w:p>
      <w:r>
        <w:t>Recall Research ethics and consent.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privacy and data governance using the records and boundaries of this fictional investigation.</w:t>
      </w:r>
    </w:p>
    <w:p>
      <w:pPr>
        <w:pStyle w:val="Heading1"/>
      </w:pPr>
      <w:r>
        <w:t>02. Notice the evidence</w:t>
      </w:r>
    </w:p>
    <w:p>
      <w:r>
        <w:t>Data governance specifies who may use which records, for what purpose and for how long. Coded data can still be reidentifiable.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fictional records separate participant-code table from analysis values; limit access and retention. Remove unnecessary fields and small-group details before a permitted aggregate export.</w:t>
      </w:r>
    </w:p>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Export has coded ID, exact birth date, classroom and rare condition. Team calls it anonymous because names are removed.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Publish the identity key with the analysis table.</w:t>
      </w:r>
    </w:p>
    <w:p>
      <w:r>
        <w:t>Prediction: The records become directly linkable to names and breach this access design.</w:t>
      </w:r>
    </w:p>
    <w:p>
      <w:r>
        <w:t>Reason: Separation only helps while the linkage key remains restricted.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 governance</w:t>
            </w:r>
          </w:p>
        </w:tc>
        <w:tc>
          <w:tcPr>
            <w:tcW w:type="dxa" w:w="5112"/>
          </w:tcPr>
          <w:p>
            <w:r>
              <w:t>Rules for purpose, access, quality and lifetime</w:t>
            </w:r>
          </w:p>
        </w:tc>
      </w:tr>
      <w:tr>
        <w:tc>
          <w:tcPr>
            <w:tcW w:type="dxa" w:w="5112"/>
          </w:tcPr>
          <w:p>
            <w:r>
              <w:t>Pseudonym</w:t>
            </w:r>
          </w:p>
        </w:tc>
        <w:tc>
          <w:tcPr>
            <w:tcW w:type="dxa" w:w="5112"/>
          </w:tcPr>
          <w:p>
            <w:r>
              <w:t>A code replacing direct identification</w:t>
            </w:r>
          </w:p>
        </w:tc>
      </w:tr>
      <w:tr>
        <w:tc>
          <w:tcPr>
            <w:tcW w:type="dxa" w:w="5112"/>
          </w:tcPr>
          <w:p>
            <w:r>
              <w:t>Disclosure risk</w:t>
            </w:r>
          </w:p>
        </w:tc>
        <w:tc>
          <w:tcPr>
            <w:tcW w:type="dxa" w:w="5112"/>
          </w:tcPr>
          <w:p>
            <w:r>
              <w:t>The possibility of learning identifying or sensitive facts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Export has coded ID, exact birth date, classroom and rare condition. Team calls it anonymous because names are removed.</w:t>
      </w:r>
    </w:p>
    <w:p>
      <w:r>
        <w:t>The combination can remain identifying; coded is not necessarily anonymous. Minimise fields and assess disclosure under the declared policy.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and data governance</w:t>
      </w:r>
    </w:p>
    <w:p>
      <w:r>
        <w:t>Govern data by purpose and access. A fictional project needs task scores and random participant codes, but not names.</w:t>
      </w:r>
    </w:p>
    <w:p>
      <w:pPr>
        <w:pStyle w:val="Heading3"/>
      </w:pPr>
      <w:r>
        <w:t>The facts we will use</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tables</w:t>
            </w:r>
          </w:p>
        </w:tc>
        <w:tc>
          <w:tcPr>
            <w:tcW w:type="dxa" w:w="5112"/>
          </w:tcPr>
          <w:p>
            <w:r>
              <w:t>Keep analysis records apart from the identity key.</w:t>
            </w:r>
          </w:p>
        </w:tc>
      </w:tr>
      <w:tr>
        <w:tc>
          <w:tcPr>
            <w:tcW w:type="dxa" w:w="5112"/>
          </w:tcPr>
          <w:p>
            <w:r>
              <w:t>2. Limit access</w:t>
            </w:r>
          </w:p>
        </w:tc>
        <w:tc>
          <w:tcPr>
            <w:tcW w:type="dxa" w:w="5112"/>
          </w:tcPr>
          <w:p>
            <w:r>
              <w:t>Analysts receive scores and codes, not the name linkage.</w:t>
            </w:r>
          </w:p>
        </w:tc>
      </w:tr>
      <w:tr>
        <w:tc>
          <w:tcPr>
            <w:tcW w:type="dxa" w:w="5112"/>
          </w:tcPr>
          <w:p>
            <w:r>
              <w:t>3. Define retention</w:t>
            </w:r>
          </w:p>
        </w:tc>
        <w:tc>
          <w:tcPr>
            <w:tcW w:type="dxa" w:w="5112"/>
          </w:tcPr>
          <w:p>
            <w:r>
              <w:t>Apply the approved deletion schedule to both stores and listed copies.</w:t>
            </w:r>
          </w:p>
        </w:tc>
      </w:tr>
    </w:tbl>
    <w:p>
      <w:r>
        <w:t>Match each pictured step to the supplied facts. This is a worked teaching case, not an independent assessment.</w:t>
      </w:r>
    </w:p>
    <w:p>
      <w:pPr>
        <w:pStyle w:val="Heading3"/>
      </w:pPr>
      <w:r>
        <w:t>Why this result follows</w:t>
      </w:r>
    </w:p>
    <w:p>
      <w:r>
        <w:t>Pseudonymous codes reduce routine exposure but are not the same as irreversible anonymity. Governance specifies purpose, readers, locations and retention.</w:t>
      </w:r>
    </w:p>
    <w:p>
      <w:pPr>
        <w:pStyle w:val="Heading3"/>
      </w:pPr>
      <w:r>
        <w:t>What this example does not establish</w:t>
      </w:r>
    </w:p>
    <w:p>
      <w:r>
        <w:t>Small groups or unusual records may still be identifiable without names; evaluate re-identification risk.</w:t>
      </w:r>
    </w:p>
    <w:p>
      <w:pPr>
        <w:pStyle w:val="Heading1"/>
      </w:pPr>
      <w:r>
        <w:t>07. Find and repair a mistake</w:t>
      </w:r>
    </w:p>
    <w:p>
      <w:r>
        <w:t>A size threshold or coding scheme alone does not guarantee privacy.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size threshold or coding scheme alone does not guarantee privacy.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“Privacy and data governance”.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Privacy and data governance.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analysis table and the restricted identity key. Why are the codes pseudonymous rather than guaranteed anonymous, and what changes if the key is published?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Export has coded ID, exact birth date, classroom and rare condition. Team calls it anonymous because names are removed.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size threshold or coding scheme alone does not guarantee privacy.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Aggregate contains one member in a subgroup; policy forbids subgroup reports smaller than5.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Aggregate contains one member in a subgroup; policy forbids subgroup reports smaller than5.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