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ai-1/7</w:t>
      </w:r>
    </w:p>
    <w:p>
      <w:pPr>
        <w:pStyle w:val="Title"/>
      </w:pPr>
      <w:r>
        <w:t>Categories and Labels</w:t>
      </w:r>
    </w:p>
    <w:p>
      <w:r>
        <w:t>Project: Helpful Classroom Sorter</w:t>
      </w:r>
    </w:p>
    <w:p>
      <w:pPr>
        <w:pStyle w:val="Heading1"/>
      </w:pPr>
      <w:r>
        <w:t>01. Categories and Labels</w:t>
      </w:r>
    </w:p>
    <w:p>
      <w:pPr>
        <w:pStyle w:val="Heading3"/>
      </w:pPr>
      <w:r>
        <w:t>Teach the learning cycle</w:t>
      </w:r>
    </w:p>
    <w:p>
      <w:r>
        <w:t>Primary target: Apply a category definition using explicit evidence and boundary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ai-1/7, ai-2/8. Reuse a familiar case for recall or modelling; verify that the case used to assess transfer has not already received feedback.</w:t>
      </w:r>
    </w:p>
    <w:p>
      <w:pPr>
        <w:pStyle w:val="Heading3"/>
      </w:pPr>
      <w:r>
        <w:t>Retrieval answer guidance</w:t>
      </w:r>
    </w:p>
    <w:p>
      <w:pPr>
        <w:pStyle w:val="Heading3"/>
      </w:pPr>
      <w:r>
        <w:t>Sound Becomes a Signal</w:t>
      </w:r>
    </w:p>
    <w:p>
      <w:r>
        <w:t>Without opening the old lesson, explain one key idea from Sound Becomes a Signal. Give an example and a mistake that the idea helps you avoid.</w:t>
      </w:r>
    </w:p>
    <w:p>
      <w:r>
        <w:t>Look for: Interpret an ordered sequence of sound-signal samples with a stated time interval</w:t>
      </w:r>
    </w:p>
    <w:p>
      <w:r>
        <w:t>Reference example, not the only acceptable wording: Five samples, a 2 ms interval, and 8 ms from first to last. Consecutive pairs make gaps 0-2, 2-4, 4-6 and 6-8: four gaps between five samples.</w:t>
      </w:r>
    </w:p>
    <w:p>
      <w:pPr>
        <w:pStyle w:val="Heading3"/>
      </w:pPr>
      <w:r>
        <w:t>Rules or Learned Patterns?</w:t>
      </w:r>
    </w:p>
    <w:p>
      <w:r>
        <w:t>Without opening the old lesson, explain one key idea from Rules or Learned Patterns?. Give an example and a mistake that the idea helps you avoid.</w:t>
      </w:r>
    </w:p>
    <w:p>
      <w:r>
        <w:t>Look for: Execute a stated rule including its boundary</w:t>
      </w:r>
    </w:p>
    <w:p>
      <w:r>
        <w:t>Reference example, not the only acceptable wording: At least 5 gives narrow, wide, wide. Greater than 5 gives narrow, narrow, wide. Only the equality case changes among these inputs.</w:t>
      </w:r>
    </w:p>
    <w:p>
      <w:pPr>
        <w:pStyle w:val="Heading3"/>
      </w:pPr>
      <w:r>
        <w:t>AI or Not?</w:t>
      </w:r>
    </w:p>
    <w:p>
      <w:r>
        <w:t>Without opening the old lesson, explain one key idea from AI or Not?. Give an example and a mistake that the idea helps you avoid.</w:t>
      </w:r>
    </w:p>
    <w:p>
      <w:r>
        <w:t>Look for: Distinguish an observed result from an explanation of how it was produced</w:t>
      </w:r>
    </w:p>
    <w:p>
      <w:r>
        <w:t>Reference example, not the only acceptable wording: Observations include that the door opened when the visitor approached and that its label says intelligent entrance. A useful question asks whether a written sensor threshold, a model fitted on examples or a person controls opening. The label is an observed marketing claim, not mechanism evidence.</w:t>
      </w:r>
    </w:p>
    <w:p>
      <w:r>
        <w:t>Use the student module and workbook section with this exact week title. The worked case, independent question and answers below form one aligned lesson sequence.</w:t>
      </w:r>
    </w:p>
    <w:p>
      <w:pPr>
        <w:pStyle w:val="Heading3"/>
      </w:pPr>
      <w:r>
        <w:t>What the learner must demonstrate</w:t>
      </w:r>
    </w:p>
    <w:p>
      <w:r>
        <w:t>Your dataset labels 'reusable containers'. One team includes a disposable bottle reused once; another excludes it. Give an operational label rule and classify this boundary case under that rule. Explain why a different rule could be defensible.</w:t>
      </w:r>
    </w:p>
    <w:p>
      <w:pPr>
        <w:pStyle w:val="Heading3"/>
      </w:pPr>
      <w:r>
        <w:t>Concept to explain</w:t>
      </w:r>
    </w:p>
    <w:p>
      <w:r>
        <w:t>Labels are human choices that may overlap or be unclear.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category</w:t>
            </w:r>
          </w:p>
        </w:tc>
        <w:tc>
          <w:tcPr>
            <w:tcW w:type="dxa" w:w="5112"/>
          </w:tcPr>
          <w:p>
            <w:r>
              <w:t>group created for a purpose</w:t>
            </w:r>
          </w:p>
        </w:tc>
      </w:tr>
      <w:tr>
        <w:tc>
          <w:tcPr>
            <w:tcW w:type="dxa" w:w="5112"/>
          </w:tcPr>
          <w:p>
            <w:r>
              <w:t>label</w:t>
            </w:r>
          </w:p>
        </w:tc>
        <w:tc>
          <w:tcPr>
            <w:tcW w:type="dxa" w:w="5112"/>
          </w:tcPr>
          <w:p>
            <w:r>
              <w:t>name assigned to an example</w:t>
            </w:r>
          </w:p>
        </w:tc>
      </w:tr>
      <w:tr>
        <w:tc>
          <w:tcPr>
            <w:tcW w:type="dxa" w:w="5112"/>
          </w:tcPr>
          <w:p>
            <w:r>
              <w:t>overlap</w:t>
            </w:r>
          </w:p>
        </w:tc>
        <w:tc>
          <w:tcPr>
            <w:tcW w:type="dxa" w:w="5112"/>
          </w:tcPr>
          <w:p>
            <w:r>
              <w:t>when more than one label can fit</w:t>
            </w:r>
          </w:p>
        </w:tc>
      </w:tr>
      <w:tr>
        <w:tc>
          <w:tcPr>
            <w:tcW w:type="dxa" w:w="5112"/>
          </w:tcPr>
          <w:p>
            <w:r>
              <w:t>ambiguity</w:t>
            </w:r>
          </w:p>
        </w:tc>
        <w:tc>
          <w:tcPr>
            <w:tcW w:type="dxa" w:w="5112"/>
          </w:tcPr>
          <w:p>
            <w:r>
              <w:t>when evidence allows multiple reasonable meanings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lesson establishes labels as task-dependent records produced under a guide. Use fictional event and equipment forms rather than categories about classmates. The three categories deliberately separate known failures from unknown information, with known failure taking priority. A ready label checks a representation; it does not establish truth, quality, safety or permission. Agreement is useful evidence about consistency, but shared mistakes can produce high agreement.</w:t>
      </w:r>
    </w:p>
    <w:p>
      <w:pPr>
        <w:pStyle w:val="Heading3"/>
      </w:pPr>
      <w:r>
        <w:t>Readiness answer</w:t>
      </w:r>
    </w:p>
    <w:p>
      <w:r>
        <w:t>The missing word is information the representation does not establish. Filling it without evidence adds an assumption; a later stage should preserve the uncertainty or request a check.</w:t>
      </w:r>
    </w:p>
    <w:p>
      <w:r>
        <w:t>Paper calendar cards with the four worked field combinations and the printed policy</w:t>
      </w:r>
    </w:p>
    <w:p>
      <w:r>
        <w:t>A second set of cards labelled independently by partners before discussion</w:t>
      </w:r>
    </w:p>
    <w:p>
      <w:r>
        <w:t>The equipment-request cases on a separate sheet for independent assessment; no accounts or personal data are required</w:t>
      </w:r>
    </w:p>
    <w:p>
      <w:pPr>
        <w:pStyle w:val="Heading3"/>
      </w:pPr>
      <w:r>
        <w:t>End goal for the pictorial case</w:t>
      </w:r>
    </w:p>
    <w:p>
      <w:r>
        <w:t>By the end, I can apply a shared labelling policy consistently, including missing information.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objects and a purpose for sorting</w:t>
      </w:r>
    </w:p>
    <w:p>
      <w:r>
        <w:t>PROCESS people define labels and assign examples</w:t>
      </w:r>
    </w:p>
    <w:p>
      <w:r>
        <w:t>OUTPUT category names attached to items</w:t>
      </w:r>
    </w:p>
    <w:p>
      <w:r>
        <w:t>CORE IDEA Labels are human choices that may overlap or be unclear.</w:t>
      </w:r>
    </w:p>
    <w:p>
      <w:r>
        <w:t>UNDER THE HOOD A label is an operational definition chosen for a task. Categories may be mutually exclusive, multi-label, hierarchical, subjective, or context-dependent. Ambiguity in labels becomes ambiguity in training and evaluation.</w:t>
      </w:r>
    </w:p>
    <w:p>
      <w:r>
        <w:t>Draw a fresh example with all three stages:</w:t>
      </w:r>
    </w:p>
    <w:p>
      <w:r>
        <w:t>Every step connects a claim to observable evidence.</w:t>
      </w:r>
    </w:p>
    <w:p>
      <w:r>
        <w:t>CASE A playground object can be both red and round, a toy and sports equipment, or safe in one situation and unsafe in another.</w:t>
      </w:r>
    </w:p>
    <w:p>
      <w:r>
        <w:t>STEP 1 — OBSERVE objects and a purpose for sorting</w:t>
      </w:r>
    </w:p>
    <w:p>
      <w:r>
        <w:t>STEP 2 — TRACE people define labels and assign examples</w:t>
      </w:r>
    </w:p>
    <w:p>
      <w:r>
        <w:t>STEP 3 — CONCLUDE category names attached to items</w:t>
      </w:r>
    </w:p>
    <w:p>
      <w:r>
        <w:t>MODEL REASONING Strong labels include a purpose and a rule for membership. Overlapping objects may need multiple labels or a priority rule. A revised definition should reduce disagreement without pretending every case is simple.</w:t>
      </w:r>
    </w:p>
    <w:p>
      <w:r>
        <w:t>DO NOT OVERCLAIM Labels do not exist naturally in the data; people define them for a purpose.</w:t>
      </w:r>
    </w:p>
    <w:p>
      <w:r>
        <w:t>What new evidence could change this answer?</w:t>
      </w:r>
    </w:p>
    <w:p>
      <w:pPr>
        <w:pStyle w:val="Heading3"/>
      </w:pPr>
      <w:r>
        <w:t>Concrete teaching case</w:t>
      </w:r>
    </w:p>
    <w:p>
      <w:r>
        <w:t>Six cards show two circles, two triangles and two squares. Sort by shape.</w:t>
      </w:r>
    </w:p>
    <w:p>
      <w:r>
        <w:t>Why can red and blue circles share a label?</w:t>
      </w:r>
    </w:p>
    <w:p>
      <w:pPr>
        <w:pStyle w:val="Heading3"/>
      </w:pPr>
      <w:r>
        <w:t>Exact explanation to model</w:t>
      </w:r>
    </w:p>
    <w:p>
      <w:r>
        <w:t>Both meet the circle definition. Colour does not change the agreed shape label. Apply one definition consistently.</w:t>
      </w:r>
    </w:p>
    <w:p>
      <w:pPr>
        <w:pStyle w:val="Heading3"/>
      </w:pPr>
      <w:r>
        <w:t>Explain the added worked example</w:t>
      </w:r>
    </w:p>
    <w:p>
      <w:r>
        <w:t>Two students are sorting fictional event cards for a classroom calendar. Their first instruction is Put the good cards together. Mina calls a colourful card good. Theo calls a plain card good because its room is easy to read. They disagree even though both followed a reasonable interpretation of the word good.</w:t>
      </w:r>
    </w:p>
    <w:p>
      <w:r>
        <w:t>A category is useful for a task when people can tell what evidence makes an example belong to it. An operational definition states the observations or checks to perform. For this paper exercise, we will check two printed fields: an event day and a room code. The task is to check the record against a classroom policy, not to judge the quality of the event or the person who wrote it.</w:t>
      </w:r>
    </w:p>
    <w:p>
      <w:r>
        <w:t>Labels depend on the definition in use. A model fitted to labels can learn the distinctions those labels encode, including mistakes and inconsistencies. Before asking a model to copy a label, ask whether people have a clear, useful guide for assigning it.</w:t>
      </w:r>
    </w:p>
    <w:p>
      <w:r>
        <w:t>Our fictional calendar accepts a whole-number day from 1 through 30, including both endpoints, and exactly one room code, A or B. The month is already fixed for this exercise. A blank or unreadable field counts as unknown. The categories are revise, review and ready. Use the checks in the order shown.</w:t>
      </w:r>
    </w:p>
    <w:p>
      <w:r>
        <w:t>Known failure and unknown are different. Day 31 is known and outside the accepted range, so the card needs revision. An unreadable day might be valid or invalid; without another known failure, it needs review. Never silently turn a blank into zero just to make a comparison possible.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Category</w:t>
            </w:r>
          </w:p>
        </w:tc>
        <w:tc>
          <w:tcPr>
            <w:tcW w:type="dxa" w:w="5112"/>
          </w:tcPr>
          <w:p>
            <w:r>
              <w:t>A group defined by stated membership criteria</w:t>
            </w:r>
          </w:p>
        </w:tc>
      </w:tr>
      <w:tr>
        <w:tc>
          <w:tcPr>
            <w:tcW w:type="dxa" w:w="5112"/>
          </w:tcPr>
          <w:p>
            <w:r>
              <w:t>Operational definition</w:t>
            </w:r>
          </w:p>
        </w:tc>
        <w:tc>
          <w:tcPr>
            <w:tcW w:type="dxa" w:w="5112"/>
          </w:tcPr>
          <w:p>
            <w:r>
              <w:t>A definition precise enough to tell someone what to observe or do when assigning a category</w:t>
            </w:r>
          </w:p>
        </w:tc>
      </w:tr>
      <w:tr>
        <w:tc>
          <w:tcPr>
            <w:tcW w:type="dxa" w:w="5112"/>
          </w:tcPr>
          <w:p>
            <w:r>
              <w:t>Label</w:t>
            </w:r>
          </w:p>
        </w:tc>
        <w:tc>
          <w:tcPr>
            <w:tcW w:type="dxa" w:w="5112"/>
          </w:tcPr>
          <w:p>
            <w:r>
              <w:t>The category recorded for an example under a particular guide</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r>
        <w:t>For the last card, first read only what is known: day 31. Compare it with the allowed range and record a failure. The guide therefore selects revise before the missing-room check. Checking the room later could reveal another problem, but it cannot make day 31 satisfy this policy.</w:t>
      </w:r>
    </w:p>
    <w:p>
      <w:r>
        <w:t>A clear explanation cites the particular criterion. Saying It looks wrong is not enough. Write Day 31 exceeds the accepted maximum of 30 instead. That explanation lets another person reproduce the check and challenge it if the recorded value or policy is different.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Categories and Labels</w:t>
      </w:r>
    </w:p>
    <w:p>
      <w:r>
        <w:t>A fictional craft club labels cardboard-order cards ready, review or revise.</w:t>
      </w:r>
    </w:p>
    <w:p>
      <w:pPr>
        <w:pStyle w:val="Heading3"/>
      </w:pPr>
      <w:r>
        <w:t>The facts we will use</w:t>
      </w:r>
    </w:p>
    <w:p>
      <w:r>
        <w:t>Allowed quantity: whole number 1–4. Required colour: red or blue.</w:t>
      </w:r>
    </w:p>
    <w:p>
      <w:r>
        <w:t>If any known field fails, revise; otherwise if a required field is blank, review; otherwise ready. Cards A=(4,red), B=(5,blank), C=(2,blank).</w:t>
      </w:r>
    </w:p>
    <w:p>
      <w:r>
        <w:drawing>
          <wp:inline xmlns:a="http://schemas.openxmlformats.org/drawingml/2006/main" xmlns:pic="http://schemas.openxmlformats.org/drawingml/2006/picture">
            <wp:extent cx="5381271" cy="5943599"/>
            <wp:docPr id="1" name="Picture 1" descr="Categories and Labels. Read policy: Check known invalid fields before checking missing ones.. Card A: 4 is allowed and red is allowed: ready.. Card B: 5 is outside 1–4: revise, even though colour is missing.. Card C: 2 is valid but colour is blank: review."/>
            <wp:cNvGraphicFramePr>
              <a:graphicFrameLocks noChangeAspect="1"/>
            </wp:cNvGraphicFramePr>
            <a:graphic>
              <a:graphicData uri="http://schemas.openxmlformats.org/drawingml/2006/picture">
                <pic:pic>
                  <pic:nvPicPr>
                    <pic:cNvPr id="0" name="academy-visual-ai-1-7.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policy</w:t>
            </w:r>
          </w:p>
        </w:tc>
        <w:tc>
          <w:tcPr>
            <w:tcW w:type="dxa" w:w="5112"/>
          </w:tcPr>
          <w:p>
            <w:r>
              <w:t>Check known invalid fields before checking missing ones.</w:t>
            </w:r>
          </w:p>
        </w:tc>
      </w:tr>
      <w:tr>
        <w:tc>
          <w:tcPr>
            <w:tcW w:type="dxa" w:w="5112"/>
          </w:tcPr>
          <w:p>
            <w:r>
              <w:t>2. Card A</w:t>
            </w:r>
          </w:p>
        </w:tc>
        <w:tc>
          <w:tcPr>
            <w:tcW w:type="dxa" w:w="5112"/>
          </w:tcPr>
          <w:p>
            <w:r>
              <w:t>4 is allowed and red is allowed: ready.</w:t>
            </w:r>
          </w:p>
        </w:tc>
      </w:tr>
      <w:tr>
        <w:tc>
          <w:tcPr>
            <w:tcW w:type="dxa" w:w="5112"/>
          </w:tcPr>
          <w:p>
            <w:r>
              <w:t>3. Card B</w:t>
            </w:r>
          </w:p>
        </w:tc>
        <w:tc>
          <w:tcPr>
            <w:tcW w:type="dxa" w:w="5112"/>
          </w:tcPr>
          <w:p>
            <w:r>
              <w:t>5 is outside 1–4: revise, even though colour is missing.</w:t>
            </w:r>
          </w:p>
        </w:tc>
      </w:tr>
      <w:tr>
        <w:tc>
          <w:tcPr>
            <w:tcW w:type="dxa" w:w="5112"/>
          </w:tcPr>
          <w:p>
            <w:r>
              <w:t>4. Card C</w:t>
            </w:r>
          </w:p>
        </w:tc>
        <w:tc>
          <w:tcPr>
            <w:tcW w:type="dxa" w:w="5112"/>
          </w:tcPr>
          <w:p>
            <w:r>
              <w:t>2 is valid but colour is blank: review.</w:t>
            </w:r>
          </w:p>
        </w:tc>
      </w:tr>
    </w:tbl>
    <w:p>
      <w:r>
        <w:t>Match each pictured step to the supplied facts. This is a worked teaching case, not an independent assessment.</w:t>
      </w:r>
    </w:p>
    <w:p>
      <w:pPr>
        <w:pStyle w:val="Heading3"/>
      </w:pPr>
      <w:r>
        <w:t>Why this result follows</w:t>
      </w:r>
    </w:p>
    <w:p>
      <w:r>
        <w:t>Operational labels specify what a word means for this task. Two labellers using the same priority should agree on these cards. Review describes missing evidence, not a hidden assumption that the card is wrong. Revise is supported by a known failure.</w:t>
      </w:r>
    </w:p>
    <w:p>
      <w:pPr>
        <w:pStyle w:val="Heading3"/>
      </w:pPr>
      <w:r>
        <w:t>What this example does not establish</w:t>
      </w:r>
    </w:p>
    <w:p>
      <w:r>
        <w:t>Agreement between labellers does not prove this policy is suitable for every school or that labels are objective truths.</w:t>
      </w:r>
    </w:p>
    <w:p>
      <w:pPr>
        <w:pStyle w:val="Heading3"/>
      </w:pPr>
      <w:r>
        <w:t>Change one thing in the pictured case</w:t>
      </w:r>
    </w:p>
    <w:p>
      <w:r>
        <w:t>Change: Change B’s quantity from 5 to 4; leave colour blank.</w:t>
      </w:r>
    </w:p>
    <w:p>
      <w:r>
        <w:t>Prediction: B becomes review.</w:t>
      </w:r>
    </w:p>
    <w:p>
      <w:r>
        <w:t>Reason: The known failure is removed, but a required field is still missing.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Six cards show two circles, two triangles and two squares. Sort by shape.</w:t>
      </w:r>
    </w:p>
    <w:p>
      <w:r>
        <w:t>Write the question to explain: Why can red and blue circles share a label?</w:t>
      </w:r>
    </w:p>
    <w:p>
      <w:r>
        <w:t>Reveal after predictions: Both meet the circle definition. Colour does not change the agreed shape label. Apply one definition consistently.</w:t>
      </w:r>
    </w:p>
    <w:p>
      <w:r>
        <w:t>Keep for an independent attempt: The rule is: fruit has seeds; other objects go in other. Sort an apple, a pencil and a sealed mystery box. Which item needs more evidence, and why?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Day 0 room A is revise because 0 falls below the accepted minimum of 1; the known day needs correction. Day 18 with a blank room is review because the known day passes and the room is unknown; the missing evidence must be checked. Two people labelling everything ready establishes agreement only. They may share a mistake, ignore the criteria or work from inaccurate records. Correct field checks also do not confirm the event or its permission.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missing-word example from Week 6. Ask what evidence a blank supplies and what it does not.</w:t>
            </w:r>
          </w:p>
        </w:tc>
      </w:tr>
      <w:tr>
        <w:tc>
          <w:tcPr>
            <w:tcW w:type="dxa" w:w="5112"/>
          </w:tcPr>
          <w:p>
            <w:r>
              <w:t>7 to 20 minutes</w:t>
            </w:r>
          </w:p>
        </w:tc>
        <w:tc>
          <w:tcPr>
            <w:tcW w:type="dxa" w:w="5112"/>
          </w:tcPr>
          <w:p>
            <w:r>
              <w:t>Give the vague good-card instruction and collect two different interpretations. Replace it with observable field criteria. Read the ordered checks aloud.</w:t>
            </w:r>
          </w:p>
        </w:tc>
      </w:tr>
      <w:tr>
        <w:tc>
          <w:tcPr>
            <w:tcW w:type="dxa" w:w="5112"/>
          </w:tcPr>
          <w:p>
            <w:r>
              <w:t>20 to 33 minutes</w:t>
            </w:r>
          </w:p>
        </w:tc>
        <w:tc>
          <w:tcPr>
            <w:tcW w:type="dxa" w:w="5112"/>
          </w:tcPr>
          <w:p>
            <w:r>
              <w:t>Trace all four worked cards. Emphasise the inclusive boundary and the priority of a known failure over an unknown field.</w:t>
            </w:r>
          </w:p>
        </w:tc>
      </w:tr>
      <w:tr>
        <w:tc>
          <w:tcPr>
            <w:tcW w:type="dxa" w:w="5112"/>
          </w:tcPr>
          <w:p>
            <w:r>
              <w:t>33 to 45 minutes</w:t>
            </w:r>
          </w:p>
        </w:tc>
        <w:tc>
          <w:tcPr>
            <w:tcW w:type="dxa" w:w="5112"/>
          </w:tcPr>
          <w:p>
            <w:r>
              <w:t>Pairs complete W1 and W2. Ask each learner to cite a criterion rather than a personal impression.</w:t>
            </w:r>
          </w:p>
        </w:tc>
      </w:tr>
      <w:tr>
        <w:tc>
          <w:tcPr>
            <w:tcW w:type="dxa" w:w="5112"/>
          </w:tcPr>
          <w:p>
            <w:r>
              <w:t>Session 2 start 0 to 8 minutes</w:t>
            </w:r>
          </w:p>
        </w:tc>
        <w:tc>
          <w:tcPr>
            <w:tcW w:type="dxa" w:w="5112"/>
          </w:tcPr>
          <w:p>
            <w:r>
              <w:t>Label two fresh calendar cards independently before comparing. Keep original labels visible during discussion.</w:t>
            </w:r>
          </w:p>
        </w:tc>
      </w:tr>
      <w:tr>
        <w:tc>
          <w:tcPr>
            <w:tcW w:type="dxa" w:w="5112"/>
          </w:tcPr>
          <w:p>
            <w:r>
              <w:t>8 to 23 minutes</w:t>
            </w:r>
          </w:p>
        </w:tc>
        <w:tc>
          <w:tcPr>
            <w:tcW w:type="dxa" w:w="5112"/>
          </w:tcPr>
          <w:p>
            <w:r>
              <w:t>Complete W3. Distinguish counting agreement from checking correctness against source fields and policy.</w:t>
            </w:r>
          </w:p>
        </w:tc>
      </w:tr>
      <w:tr>
        <w:tc>
          <w:tcPr>
            <w:tcW w:type="dxa" w:w="5112"/>
          </w:tcPr>
          <w:p>
            <w:r>
              <w:t>23 to 38 minutes</w:t>
            </w:r>
          </w:p>
        </w:tc>
        <w:tc>
          <w:tcPr>
            <w:tcW w:type="dxa" w:w="5112"/>
          </w:tcPr>
          <w:p>
            <w:r>
              <w:t>Collect W4 independently. Require four labels with reasons and a statement about the limit of ready.</w:t>
            </w:r>
          </w:p>
        </w:tc>
      </w:tr>
      <w:tr>
        <w:tc>
          <w:tcPr>
            <w:tcW w:type="dxa" w:w="5112"/>
          </w:tcPr>
          <w:p>
            <w:r>
              <w:t>38 to 45 minutes</w:t>
            </w:r>
          </w:p>
        </w:tc>
        <w:tc>
          <w:tcPr>
            <w:tcW w:type="dxa" w:w="5112"/>
          </w:tcPr>
          <w:p>
            <w:r>
              <w:t>Use W5 to demonstrate a policy-version conflict. Discuss the exit question and preview choosing useful input features.</w:t>
            </w:r>
          </w:p>
        </w:tc>
      </w:tr>
    </w:tbl>
    <w:p>
      <w:pPr>
        <w:pStyle w:val="Heading3"/>
      </w:pPr>
      <w:r>
        <w:t>Reduce help deliberately</w:t>
      </w:r>
    </w:p>
    <w:p>
      <w:r>
        <w:t>Completion task: A helper says Label a card ready if it looks nice. Explain why this can lead to inconsistent labels. Replace it with an instruction that another person can apply using the calendar policy, including what to do about a blank field.</w:t>
      </w:r>
    </w:p>
    <w:p>
      <w:r>
        <w:t>Teacher check: 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Categories and operational labels. Proposed explanation: “A blank is the same as a failing value”. Decide whether this explanation is supported. Point to the step or supplied fact that decides; explain your repair if needed.</w:t>
      </w:r>
    </w:p>
    <w:p>
      <w:r>
        <w:t>Expected correction: Contrast unreadable day with day 0. One is unknown; the other is known to violate the stated range.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B originally was revise rather than review, then label its changed version.</w:t>
      </w:r>
    </w:p>
    <w:p>
      <w:pPr>
        <w:pStyle w:val="Heading3"/>
      </w:pPr>
      <w:r>
        <w:t>Reasoned teacher answer</w:t>
      </w:r>
    </w:p>
    <w:p>
      <w:r>
        <w:t>Quantity 5 violates the allowed range and failure has priority. With quantity 4 and missing colour, B is review.</w:t>
      </w:r>
    </w:p>
    <w:p>
      <w:r>
        <w:t>Changed-case reasoning: B becomes review. The known failure is removed, but a required field is still missing.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Design labels for playground objects; challenge ambiguous cards.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Every object must receive a confident label.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blank is the same as a failing value: Contrast unreadable day with day 0. One is unknown; the other is known to violate the stated range.</w:t>
      </w:r>
    </w:p>
    <w:p>
      <w:r>
        <w:t>Review must win whenever any field is missing: Trace the guide in order for day 31 with a blank room. The known failure already selects revise under this policy.</w:t>
      </w:r>
    </w:p>
    <w:p>
      <w:r>
        <w:t>Agreement proves the labels are true: Give two annotators the same mistaken exclusive-boundary interpretation. Their agreement can coexist with incorrect labels.</w:t>
      </w:r>
    </w:p>
    <w:p>
      <w:r>
        <w:t>A category describes the whole person or event: Return to the task scope. Ready checks two printed fields under one policy, not the worth of a person or the reality of an event.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Both meet the circle definition. Colour does not change the agreed shape label. Apply one definition consistently.</w:t>
      </w:r>
    </w:p>
    <w:p>
      <w:pPr>
        <w:pStyle w:val="Heading3"/>
      </w:pPr>
      <w:r>
        <w:t>Independent question</w:t>
      </w:r>
    </w:p>
    <w:p>
      <w:r>
        <w:t>The rule is: fruit has seeds; other objects go in other. Sort an apple, a pencil and a sealed mystery box. Which item needs more evidence, and why?</w:t>
      </w:r>
    </w:p>
    <w:p>
      <w:pPr>
        <w:pStyle w:val="Heading3"/>
      </w:pPr>
      <w:r>
        <w:t>Expected independent answer</w:t>
      </w:r>
    </w:p>
    <w:p>
      <w:r>
        <w:t>Apple is fruit and pencil is other under the supplied rule. The sealed box needs more information about its contents; the label cannot be justified from the box alone.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object must receive a confident label.” Keep the first attempt and an uncoached retry separate.</w:t>
      </w:r>
    </w:p>
    <w:p>
      <w:pPr>
        <w:pStyle w:val="Heading3"/>
      </w:pPr>
      <w:r>
        <w:t>Original transfer answer</w:t>
      </w:r>
    </w:p>
    <w:p>
      <w:r>
        <w:t>One defensible rule is 'designed by its maker for repeated use', which excludes the disposable bottle. Another is 'used more than once', which includes it. State which task the labels serve, use one rule consistently and record unresolved cases; neither team should silently change definitions.</w:t>
      </w:r>
    </w:p>
    <w:p>
      <w:pPr>
        <w:pStyle w:val="Heading3"/>
      </w:pPr>
      <w:r>
        <w:t>Explanations for the additional workbook examples</w:t>
      </w:r>
    </w:p>
    <w:p>
      <w:pPr>
        <w:pStyle w:val="Heading3"/>
      </w:pPr>
      <w:r>
        <w:t>W1 Apply the calendar guide</w:t>
      </w:r>
    </w:p>
    <w:p>
      <w:r>
        <w:t>The calendar policy accepts whole-number days 1 through 30 inclusive and a room code A or B. Check known failures first, then unknown fields, then readiness. Label these cards and give evidence: day 30 room B; day 31 room A; day 14 room unreadable; day 31 room unreadable.</w:t>
      </w:r>
    </w:p>
    <w:p>
      <w:r>
        <w:t>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W2 Replace a vague instruction</w:t>
      </w:r>
    </w:p>
    <w:p>
      <w:r>
        <w:t>A helper says Label a card ready if it looks nice. Explain why this can lead to inconsistent labels. Replace it with an instruction that another person can apply using the calendar policy, including what to do about a blank field.</w:t>
      </w:r>
    </w:p>
    <w:p>
      <w:r>
        <w:t>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pPr>
        <w:pStyle w:val="Heading3"/>
      </w:pPr>
      <w:r>
        <w:t>W3 Count and investigate disagreement</w:t>
      </w:r>
    </w:p>
    <w:p>
      <w:r>
        <w:t>For the same four cards, Mina records ready, revise, review, ready. Theo records ready, review, review, revise. How many positions agree? Identify the disagreements. Can you decide which annotator is correct from these label lists alone? Explain what else you need.</w:t>
      </w:r>
    </w:p>
    <w:p>
      <w:r>
        <w:t>Positions 1 and 3 agree, so there are two agreements out of four. Positions 2 and 4 disagree. The lists alone do not show which labels are correct; inspect the corresponding card fields and the guide version, then compare each explanation with the criteria. Agreement at positions 1 and 3 does not itself prove correctness.</w:t>
      </w:r>
    </w:p>
    <w:p>
      <w:pPr>
        <w:pStyle w:val="Heading3"/>
      </w:pPr>
      <w:r>
        <w:t>W4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r>
        <w:t>7 days X is ready: both pass, including the endpoint. 8 days Y is revise: duration exceeds 7. Unreadable duration X is review: no known failure but duration is unknown. 8 days blank code is revise: the known duration failure has priority. Ready only means the printed fields satisfy this policy; borrowing still requires the actual availability and authorisation process.</w:t>
      </w:r>
    </w:p>
    <w:p>
      <w:pPr>
        <w:pStyle w:val="Heading3"/>
      </w:pPr>
      <w:r>
        <w:t>W5 Keep a policy change visible</w:t>
      </w:r>
    </w:p>
    <w:p>
      <w:r>
        <w:t>Version 1 accepts calendar days 1 through 30. Version 2 accepts days 1 through 31. A card says day 31 room A. State its label under each version. Explain why mixing the two labels without recording the version could create a misleading training dataset.</w:t>
      </w:r>
    </w:p>
    <w:p>
      <w:r>
        <w:t>Under Version 1 the card is revise; under Version 2 it is ready. Both can be correct relative to their different policies. If the version is omitted, identical printed fields appear to have conflicting targets without explanation. Record which policy produced each label and review or relabel consistently for the intended task; do not erase the history.</w:t>
      </w:r>
    </w:p>
    <w:p>
      <w:pPr>
        <w:pStyle w:val="Heading3"/>
      </w:pPr>
      <w:r>
        <w:t>Assess independent transfer</w:t>
      </w:r>
    </w:p>
    <w:p>
      <w:r>
        <w:t>Selected case: 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Selected case answer</w:t>
      </w:r>
    </w:p>
    <w:p>
      <w:r>
        <w:t>7 days X is ready: both pass, including the endpoint. 8 days Y is revise: duration exceeds 7. Unreadable duration X is review: no known failure but duration is unknown. 8 days blank code is revise: the known duration failure has priority. Ready only means the printed fields satisfy this policy; borrowing still requires the actual availability and authorisation process.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Define the Classroom Sorter's bin labels and write how to handle objects that reasonably fit more than one bin.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8: Features: Useful Clues. Retrieve today’s evidence and identify what carries forward and what is new.</w:t>
      </w:r>
    </w:p>
    <w:p>
      <w:pPr>
        <w:pStyle w:val="Heading3"/>
      </w:pPr>
      <w:r>
        <w:t>Support and fresh reassessment</w:t>
      </w:r>
    </w:p>
    <w:p>
      <w:r>
        <w:t>Provide a three-step checklist and highlight known versus unreadable fields using words as well as colour. Let learners explain orally while pointing to the criterion. Extension: ask how a different priority policy would label mixed cases, and why that change must be documented rather than silently merged into the old labels.</w:t>
      </w:r>
    </w:p>
    <w:p>
      <w:r>
        <w:t>W4 is secure when all four labels follow the new range and codes, the reasons cite the relevant evidence, the mixed failure/unknown case respects priority, and ready is not treated as authorisation. If only the labels are correct, ask for the reasoning before recording mastery. After support, use new forms with a different maximum and codes for an uncoached retry.</w:t>
      </w:r>
    </w:p>
    <w:p>
      <w:r>
        <w:t>Week 8 examines features: which recorded properties retain the distinctions a task needs, and which attractive-looking inputs add little useful information.</w:t>
      </w:r>
    </w:p>
    <w:p>
      <w:pPr>
        <w:pStyle w:val="Heading3"/>
      </w:pPr>
      <w:r>
        <w:t>Plan the delayed return</w:t>
      </w:r>
    </w:p>
    <w:p>
      <w:r>
        <w:t>Suggested return points in this level: ai-1/8, ai-1/10, ai-1/13.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Write a sorter label guide with examples of complete, invalid and unresolved inputs before comparing labels.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