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ai-3/31</w:t>
      </w:r>
    </w:p>
    <w:p>
      <w:pPr>
        <w:pStyle w:val="Title"/>
      </w:pPr>
      <w:r>
        <w:t>Safety Boundaries</w:t>
      </w:r>
    </w:p>
    <w:p>
      <w:r>
        <w:t>Project: Verified Study Buddy</w:t>
      </w:r>
    </w:p>
    <w:p>
      <w:pPr>
        <w:pStyle w:val="Heading1"/>
      </w:pPr>
      <w:r>
        <w:t>01. Safety Boundaries</w:t>
      </w:r>
    </w:p>
    <w:p>
      <w:pPr>
        <w:pStyle w:val="Heading3"/>
      </w:pPr>
      <w:r>
        <w:t>Teach the learning cycle</w:t>
      </w:r>
    </w:p>
    <w:p>
      <w:r>
        <w:t>Primary target: Explain the mechanism and terminology of untrusted input boundaries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r>
        <w:t>Case exposure check: this source example appears in ai-3/31, ai-6/18. Reuse a familiar case for recall or modelling; verify that the case used to assess transfer has not already received feedback.</w:t>
      </w:r>
    </w:p>
    <w:p>
      <w:pPr>
        <w:pStyle w:val="Heading3"/>
      </w:pPr>
      <w:r>
        <w:t>Retrieval answer guidance</w:t>
      </w:r>
    </w:p>
    <w:p>
      <w:pPr>
        <w:pStyle w:val="Heading3"/>
      </w:pPr>
      <w:r>
        <w:t>Bias and Representation</w:t>
      </w:r>
    </w:p>
    <w:p>
      <w:r>
        <w:t>Without opening the old lesson, explain one key idea from Bias and Representation. Give an example and a mistake that the idea helps you avoid.</w:t>
      </w:r>
    </w:p>
    <w:p>
      <w:r>
        <w:t>Look for: Explain the mechanism and terminology of representation and bias evaluation</w:t>
      </w:r>
    </w:p>
    <w:p>
      <w:r>
        <w:t>Reference example, not the only acceptable wording: Teacher explanation: Bias evaluation tests defined outcomes across relevant conditions. Group averages can expose differences but cannot alone establish their cause or the correct remedy. Define the task, relevant groups, labels and denominators before comparing. Use fictional, non-identifying records. Evaluate quality and fallback outcomes separately; preserve sample sizes and unresolved explanations.</w:t>
      </w:r>
    </w:p>
    <w:p>
      <w:pPr>
        <w:pStyle w:val="Heading3"/>
      </w:pPr>
      <w:r>
        <w:t>Privacy by Design</w:t>
      </w:r>
    </w:p>
    <w:p>
      <w:r>
        <w:t>Without opening the old lesson, explain one key idea from Privacy by Design. Give an example and a mistake that the idea helps you avoid.</w:t>
      </w:r>
    </w:p>
    <w:p>
      <w:r>
        <w:t>Look for: Explain the mechanism and terminology of data retention and deletion</w:t>
      </w:r>
    </w:p>
    <w:p>
      <w:r>
        <w:t>Reference example, not the only acceptable wording: Teacher explanation: Retention and deletion cover all declared stores, including caches and logs. Removing a visible row may leave copies elsewhere. Toy policy retains session content for 7 days and deletes it when age is at least7. Audit metadata may remain for 30 days without content. Track primary storage, cache and backup policy separately.</w:t>
      </w:r>
    </w:p>
    <w:p>
      <w:pPr>
        <w:pStyle w:val="Heading3"/>
      </w:pPr>
      <w:r>
        <w:t>Quality Rubrics</w:t>
      </w:r>
    </w:p>
    <w:p>
      <w:r>
        <w:t>Without opening the old lesson, explain one key idea from Quality Rubrics. Give an example and a mistake that the idea helps you avoid.</w:t>
      </w:r>
    </w:p>
    <w:p>
      <w:r>
        <w:t>Look for: Explain the mechanism and terminology of system evaluation sets</w:t>
      </w:r>
    </w:p>
    <w:p>
      <w:r>
        <w:t>Reference example, not the only acceptable wording: Teacher explanation: A system evaluation set contains cases with expected behaviour and scoring rules. It should cover retrieval, support, fallback and permissions rather than only easy answerable questions. Record case ID, evidence version, expected claims or fallback, permitted actions and scoring rubric. Separate development from final cases. Aggregate metrics only after checking required conditions individually.</w:t>
      </w:r>
    </w:p>
    <w:p>
      <w:r>
        <w:t>Use the student module and workbook section with this exact week title. The worked case, independent question and answers below form one aligned lesson sequence.</w:t>
      </w:r>
    </w:p>
    <w:p>
      <w:pPr>
        <w:pStyle w:val="Heading3"/>
      </w:pPr>
      <w:r>
        <w:t>What the learner must demonstrate</w:t>
      </w:r>
    </w:p>
    <w:p>
      <w:r>
        <w:t>A plant-study assistant is asked for a person's medication dose. Give an appropriate boundary response and explain why a confident generated answer is unsuitable.</w:t>
      </w:r>
    </w:p>
    <w:p>
      <w:pPr>
        <w:pStyle w:val="Heading3"/>
      </w:pPr>
      <w:r>
        <w:t>Concept to explain</w:t>
      </w:r>
    </w:p>
    <w:p>
      <w:r>
        <w:t>Systems need refusal, warning, escalation, and human-review policies.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boundary</w:t>
            </w:r>
          </w:p>
        </w:tc>
        <w:tc>
          <w:tcPr>
            <w:tcW w:type="dxa" w:w="5112"/>
          </w:tcPr>
          <w:p>
            <w:r>
              <w:t>A dividing condition between categories, actions or allowed behaviours.</w:t>
            </w:r>
          </w:p>
        </w:tc>
      </w:tr>
      <w:tr>
        <w:tc>
          <w:tcPr>
            <w:tcW w:type="dxa" w:w="5112"/>
          </w:tcPr>
          <w:p>
            <w:r>
              <w:t>refusal</w:t>
            </w:r>
          </w:p>
        </w:tc>
        <w:tc>
          <w:tcPr>
            <w:tcW w:type="dxa" w:w="5112"/>
          </w:tcPr>
          <w:p>
            <w:r>
              <w:t>A decision not to perform a request because it is outside the system's permitted scope.</w:t>
            </w:r>
          </w:p>
        </w:tc>
      </w:tr>
      <w:tr>
        <w:tc>
          <w:tcPr>
            <w:tcW w:type="dxa" w:w="5112"/>
          </w:tcPr>
          <w:p>
            <w:r>
              <w:t>escalation</w:t>
            </w:r>
          </w:p>
        </w:tc>
        <w:tc>
          <w:tcPr>
            <w:tcW w:type="dxa" w:w="5112"/>
          </w:tcPr>
          <w:p>
            <w:r>
              <w:t>Passing a problem or decision to a person or process with appropriate authority or expertise.</w:t>
            </w:r>
          </w:p>
        </w:tc>
      </w:tr>
      <w:tr>
        <w:tc>
          <w:tcPr>
            <w:tcW w:type="dxa" w:w="5112"/>
          </w:tcPr>
          <w:p>
            <w:r>
              <w:t>safe completion</w:t>
            </w:r>
          </w:p>
        </w:tc>
        <w:tc>
          <w:tcPr>
            <w:tcW w:type="dxa" w:w="5112"/>
          </w:tcPr>
          <w:p>
            <w:r>
              <w:t>A response that helps with the permitted part of a task while respecting its boundaries.</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Two 45-minute sessions. Untrusted input must be treated according to a contract before reaching code, queries or tools. Data that resembles instructions does not acquire execution authority. Use the supplied constructed scenarios to make the mechanism inspectable. Collect W4 before sharing solutions. Students should name intermediate evidence and limitations; classroom pacing and learning effectiveness remain unvalidated.</w:t>
      </w:r>
    </w:p>
    <w:p>
      <w:pPr>
        <w:pStyle w:val="Heading3"/>
      </w:pPr>
      <w:r>
        <w:t>Readiness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Apply the connected idea: Abstention and clarification</w:t>
      </w:r>
    </w:p>
    <w:p>
      <w:r>
        <w:t>Two 45-minute sessions. Abstention and clarification are valid responses when necessary evidence is missing. Ask for the smallest fact that can resolve the decision. Use the supplied constructed scenarios to make the mechanism inspectable. Collect W4 before sharing solutions. Students should name intermediate evidence and limitations; classroom pacing and learning effectiveness remain unvalidated.</w:t>
      </w:r>
    </w:p>
    <w:p>
      <w:pPr>
        <w:pStyle w:val="Heading3"/>
      </w:pPr>
      <w:r>
        <w:t>Readiness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End goal for the pictorial case</w:t>
      </w:r>
    </w:p>
    <w:p>
      <w:r>
        <w:t>By the end, I can explain safety boundaries using a traced example and a stated limitation.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1. Low risk: answer a source-grounded study question.</w:t>
      </w:r>
    </w:p>
    <w:p>
      <w:r>
        <w:t>2. Uncertain risk: warn, ask for context, or request adult help.</w:t>
      </w:r>
    </w:p>
    <w:p>
      <w:r>
        <w:t>3. Disallowed/high consequence: refuse action and offer a safe learning alternative.</w:t>
      </w:r>
    </w:p>
    <w:p>
      <w:r>
        <w:t>4. Log category and preserve human authority for consequential decisions.</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A Study Buddy is asked to decide whether a learner should take medicine.</w:t>
      </w:r>
    </w:p>
    <w:p>
      <w:r>
        <w:t>Set a product boundary.</w:t>
      </w:r>
    </w:p>
    <w:p>
      <w:pPr>
        <w:pStyle w:val="Heading3"/>
      </w:pPr>
      <w:r>
        <w:t>Exact explanation to model</w:t>
      </w:r>
    </w:p>
    <w:p>
      <w:r>
        <w:t>A classroom study tool should not decide individual treatment. Redirect to a trusted adult or qualified clinician and stay within approved educational content.</w:t>
      </w:r>
    </w:p>
    <w:p>
      <w:pPr>
        <w:pStyle w:val="Heading3"/>
      </w:pPr>
      <w:r>
        <w:t>Explain the added worked example</w:t>
      </w:r>
    </w:p>
    <w:p>
      <w:r>
        <w:t>Untrusted input must be treated according to a contract before reaching code, queries or tools. Data that resembles instructions does not acquire execution authority.</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For the toy lookup accept room IDs matching one uppercase letter plus one digit. Perform exact dictionary lookup; never evaluate user strings as code. Reject invalid length or characters.</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Untrusted input</w:t>
            </w:r>
          </w:p>
        </w:tc>
        <w:tc>
          <w:tcPr>
            <w:tcW w:type="dxa" w:w="5112"/>
          </w:tcPr>
          <w:p>
            <w:r>
              <w:t>Data whose claims or control intent have not been authorised</w:t>
            </w:r>
          </w:p>
        </w:tc>
      </w:tr>
      <w:tr>
        <w:tc>
          <w:tcPr>
            <w:tcW w:type="dxa" w:w="5112"/>
          </w:tcPr>
          <w:p>
            <w:r>
              <w:t>Full match</w:t>
            </w:r>
          </w:p>
        </w:tc>
        <w:tc>
          <w:tcPr>
            <w:tcW w:type="dxa" w:w="5112"/>
          </w:tcPr>
          <w:p>
            <w:r>
              <w:t>Validation covering the whole input</w:t>
            </w:r>
          </w:p>
        </w:tc>
      </w:tr>
      <w:tr>
        <w:tc>
          <w:tcPr>
            <w:tcW w:type="dxa" w:w="5112"/>
          </w:tcPr>
          <w:p>
            <w:r>
              <w:t>Injection boundary</w:t>
            </w:r>
          </w:p>
        </w:tc>
        <w:tc>
          <w:tcPr>
            <w:tcW w:type="dxa" w:w="5112"/>
          </w:tcPr>
          <w:p>
            <w:r>
              <w:t>A separation preventing data from becoming executable control</w:t>
            </w:r>
          </w:p>
        </w:tc>
      </w:tr>
    </w:tbl>
    <w:p>
      <w:pPr>
        <w:pStyle w:val="Heading3"/>
      </w:pPr>
      <w:r>
        <w:t>Apply the connected idea: Abstention and clarification</w:t>
      </w:r>
    </w:p>
    <w:p>
      <w:r>
        <w:t>Abstention and clarification are valid responses when necessary evidence is missing. Ask for the smallest fact that can resolve the decision.</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Separate answerable claims from unresolved ones. Clarify ambiguous input when a user can supply the needed fact; abstain from unsupported conclusions when evidence is unavailable. Define acceptable fallback before evaluation.</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r>
        <w:t>Guided: Do not pick the larger or smaller value as established fact. Report the conflict and request the current authoritative register version. Qualification: An abstention avoids an unsupported answer but does not automatically make a system useful; evaluate appropriate answers and appropriate fallbacks separately.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Inputs A1 and delete_all() are supplied to room lookup.</w:t>
      </w:r>
    </w:p>
    <w:p>
      <w:r>
        <w:t>A1 passes the format; delete_all() fails. Neither is executed as code, including any instruction-shaped string.</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r>
        <w:t>Optional local lab: predict the printed result before running this standalone Python 3 example. Change one relevant boundary input, record the outcome and state the contract or statistical assumptions. The program uses fictional values and the Python standard library; it performs no external operations.</w:t>
      </w:r>
    </w:p>
    <w:p>
      <w:r>
        <w:rPr>
          <w:rFonts w:ascii="Courier New" w:hAnsi="Courier New"/>
          <w:sz w:val="18"/>
        </w:rPr>
        <w:t>import re</w:t>
        <w:br/>
        <w:br/>
        <w:t>def validate_identifier(value):</w:t>
        <w:br/>
        <w:t xml:space="preserve">    return type(value) is str and re.fullmatch('[A-Z][0-9]', value) is not None</w:t>
        <w:br/>
        <w:br/>
        <w:t>print(validate_identifier("B2"))</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Safety Boundaries</w:t>
      </w:r>
    </w:p>
    <w:p>
      <w:r>
        <w:t>Make a strict lookup identifier boundary visible.</w:t>
      </w:r>
    </w:p>
    <w:p>
      <w:pPr>
        <w:pStyle w:val="Heading3"/>
      </w:pPr>
      <w:r>
        <w:t>The facts we will use</w:t>
      </w:r>
    </w:p>
    <w:p>
      <w:r>
        <w:t>Toy lookup accepts exactly two uppercase ASCII letters followed by one digit. Accepted example: AB7. No trimming or extra characters are allowed.</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25143"/>
            <wp:docPr id="1" name="Picture 1" descr="Safety Boundaries. Check pattern: AB7 has two permitted letters and one digit, with no extra characters.. Reject extra text: AB7; send() violates the exact identifier pattern.. Separate authority: Pattern acceptance only allows the next lookup check; it grants no access to restricted records."/>
            <wp:cNvGraphicFramePr>
              <a:graphicFrameLocks noChangeAspect="1"/>
            </wp:cNvGraphicFramePr>
            <a:graphic>
              <a:graphicData uri="http://schemas.openxmlformats.org/drawingml/2006/picture">
                <pic:pic>
                  <pic:nvPicPr>
                    <pic:cNvPr id="0" name="academy-visual-ai-3-31.png"/>
                    <pic:cNvPicPr/>
                  </pic:nvPicPr>
                  <pic:blipFill>
                    <a:blip r:embed="rId9"/>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Check pattern</w:t>
            </w:r>
          </w:p>
        </w:tc>
        <w:tc>
          <w:tcPr>
            <w:tcW w:type="dxa" w:w="5112"/>
          </w:tcPr>
          <w:p>
            <w:r>
              <w:t>AB7 has two permitted letters and one digit, with no extra characters.</w:t>
            </w:r>
          </w:p>
        </w:tc>
      </w:tr>
      <w:tr>
        <w:tc>
          <w:tcPr>
            <w:tcW w:type="dxa" w:w="5112"/>
          </w:tcPr>
          <w:p>
            <w:r>
              <w:t>2. Reject extra text</w:t>
            </w:r>
          </w:p>
        </w:tc>
        <w:tc>
          <w:tcPr>
            <w:tcW w:type="dxa" w:w="5112"/>
          </w:tcPr>
          <w:p>
            <w:r>
              <w:t>AB7; send() violates the exact identifier pattern.</w:t>
            </w:r>
          </w:p>
        </w:tc>
      </w:tr>
      <w:tr>
        <w:tc>
          <w:tcPr>
            <w:tcW w:type="dxa" w:w="5112"/>
          </w:tcPr>
          <w:p>
            <w:r>
              <w:t>3. Separate authority</w:t>
            </w:r>
          </w:p>
        </w:tc>
        <w:tc>
          <w:tcPr>
            <w:tcW w:type="dxa" w:w="5112"/>
          </w:tcPr>
          <w:p>
            <w:r>
              <w:t>Pattern acceptance only allows the next lookup check; it grants no access to restricted records.</w:t>
            </w:r>
          </w:p>
        </w:tc>
      </w:tr>
    </w:tbl>
    <w:p>
      <w:r>
        <w:t>Match each pictured step to the supplied facts. This is a worked teaching case, not an independent assessment.</w:t>
      </w:r>
    </w:p>
    <w:p>
      <w:pPr>
        <w:pStyle w:val="Heading3"/>
      </w:pPr>
      <w:r>
        <w:t>Why this result follows</w:t>
      </w:r>
    </w:p>
    <w:p>
      <w:r>
        <w:t>Read the picture in order. Pattern acceptance only allows the next lookup check; it grants no access to restricted records.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Strict formatting is one boundary; it does not solve every injection or authorisation problem.</w:t>
      </w:r>
    </w:p>
    <w:p>
      <w:pPr>
        <w:pStyle w:val="Heading3"/>
      </w:pPr>
      <w:r>
        <w:t>Change one thing in the pictured case</w:t>
      </w:r>
    </w:p>
    <w:p>
      <w:r>
        <w:t>Change: Change AB7 to Ab7.</w:t>
      </w:r>
    </w:p>
    <w:p>
      <w:r>
        <w:t>Prediction: Reject it under the exact uppercase rule.</w:t>
      </w:r>
    </w:p>
    <w:p>
      <w:r>
        <w:t>Reason: Lowercase b fails the declared pattern even though the identifier looks similar.</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A Study Buddy is asked to decide whether a learner should take medicine.</w:t>
      </w:r>
    </w:p>
    <w:p>
      <w:r>
        <w:t>Write the question to explain: Set a product boundary.</w:t>
      </w:r>
    </w:p>
    <w:p>
      <w:r>
        <w:t>Reveal after predictions: A classroom study tool should not decide individual treatment. Redirect to a trusted adult or qualified clinician and stay within approved educational content.</w:t>
      </w:r>
    </w:p>
    <w:p>
      <w:r>
        <w:t>Keep for an independent attempt: A study tool is asked to make a high-stakes personal decision outside its learning purpose. What boundary should the response show?</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A1 passes the format; delete_all() fails. Neither is executed as code, including any instruction-shaped string. Qualification: A format check does not grant resource access; authorisation follows separately. Exit: accept a concrete variation with its predicted outcome and a stated condition that would challenge the mechanism; reject a claim resting on unmeasured evidence.</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Teach the connected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Reduce help deliberately</w:t>
      </w:r>
    </w:p>
    <w:p>
      <w:r>
        <w:t>Completion task: Inputs A1 and delete_all() are supplied to room lookup. Show the intermediate steps and give the conclusion with its scope.</w:t>
      </w:r>
    </w:p>
    <w:p>
      <w:r>
        <w:t>Teacher check: Teacher explanation: A1 passes the format; delete_all() fails. Neither is executed as code, including any instruction-shaped string.</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Untrusted input boundaries. Proposed explanation: “The worked result establishes every future case”. Decide whether this explanation is supported. Point to the step or supplied fact that decides; explain your repair if needed.</w:t>
      </w:r>
    </w:p>
    <w:p>
      <w:r>
        <w:t>Expected correction: A format check does not grant resource access; authorisation follows separately.</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Connected teaching cycle: Abstention and clarification</w:t>
      </w:r>
    </w:p>
    <w:p>
      <w:r>
        <w:t>Target: Explain the mechanism and terminology of abstention and clarification</w:t>
      </w:r>
    </w:p>
    <w:p>
      <w:r>
        <w:t>Reserve further sessions for this topic; the 135-minute primary plan does not absorb all added content.</w:t>
      </w:r>
    </w:p>
    <w:p>
      <w:r>
        <w:t>Completion practice: Approval names room B, but two registers give capacities 8 and 12 with no precedence rule. The question asks maximum attendance. Show the intermediate steps and give the conclusion with its scope.</w:t>
      </w:r>
    </w:p>
    <w:p>
      <w:r>
        <w:t>Teacher check: Teacher explanation: Do not pick the larger or smaller value as established fact. Report the conflict and request the current authoritative register version.</w:t>
      </w:r>
    </w:p>
    <w:p>
      <w:r>
        <w:t>Individual check: For Abstention and clarification, use its worked case to evaluate this proposed explanation: “The worked result establishes every future case”. Explain the deciding step.</w:t>
      </w:r>
    </w:p>
    <w:p>
      <w:r>
        <w:t>Expected correction: An abstention avoids an unsupported answer but does not automatically make a system useful; evaluate appropriate answers and appropriate fallbacks separately.</w:t>
      </w:r>
    </w:p>
    <w:p>
      <w:r>
        <w:t>Apply the same support, independent transfer and delayed-review decisions to the named connected-topic workbook tasks.</w:t>
      </w:r>
    </w:p>
    <w:p>
      <w:pPr>
        <w:pStyle w:val="Heading3"/>
      </w:pPr>
      <w:r>
        <w:t>Pictorial practice question</w:t>
      </w:r>
    </w:p>
    <w:p>
      <w:r>
        <w:t>If AB7 passes the pattern, may it access teacher-only material? Point to the relevant step in the picture, then write the changed result and the rule or evidence that supports it.</w:t>
      </w:r>
    </w:p>
    <w:p>
      <w:pPr>
        <w:pStyle w:val="Heading3"/>
      </w:pPr>
      <w:r>
        <w:t>Reasoned teacher answer</w:t>
      </w:r>
    </w:p>
    <w:p>
      <w:r>
        <w:t>Not from pattern validity alone. The server must separately enforce the authenticated user’s access rights. Changed-case check: Reject it under the exact uppercase rule. Lowercase b fails the declared pattern even though the identifier looks similar.</w:t>
      </w:r>
    </w:p>
    <w:p>
      <w:r>
        <w:t>Changed-case reasoning: Reject it under the exact uppercase rule. Lowercase b fails the declared pattern even though the identifier looks similar.</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Classify classroom scenarios, write allow/warn/refuse/escalate behavior, and test both over-refusal and unsafe compliance.</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The worked result establishes every future case: A format check does not grant resource access; authorisation follows separately.</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pPr>
        <w:pStyle w:val="Heading3"/>
      </w:pPr>
      <w:r>
        <w:t>Check these misconceptions</w:t>
      </w:r>
    </w:p>
    <w:p>
      <w:r>
        <w:t>The worked result establishes every future case: An abstention avoids an unsupported answer but does not automatically make a system useful; evaluate appropriate answers and appropriate fallbacks separately.</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A classroom study tool should not decide individual treatment. Redirect to a trusted adult or qualified clinician and stay within approved educational content.</w:t>
      </w:r>
    </w:p>
    <w:p>
      <w:pPr>
        <w:pStyle w:val="Heading3"/>
      </w:pPr>
      <w:r>
        <w:t>Independent question</w:t>
      </w:r>
    </w:p>
    <w:p>
      <w:r>
        <w:t>A study tool is asked to make a high-stakes personal decision outside its learning purpose. What boundary should the response show?</w:t>
      </w:r>
    </w:p>
    <w:p>
      <w:pPr>
        <w:pStyle w:val="Heading3"/>
      </w:pPr>
      <w:r>
        <w:t>Expected independent answer</w:t>
      </w:r>
    </w:p>
    <w:p>
      <w:r>
        <w:t>Explain the limitation, avoid making the decision, and direct the learner to an appropriate trusted human while offering relevant general educational help.</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“A helpful assistant should make every decision the user requests.” Keep the first attempt and an uncoached retry separate.</w:t>
      </w:r>
    </w:p>
    <w:p>
      <w:pPr>
        <w:pStyle w:val="Heading3"/>
      </w:pPr>
      <w:r>
        <w:t>Original transfer answer</w:t>
      </w:r>
    </w:p>
    <w:p>
      <w:r>
        <w:t>It should not provide an individual dose; direct the user to a trusted adult and qualified healthcare professional and return to approved study content. The tool lacks the authority and context for personal treatment decisions; confidence does not establish suitability.</w:t>
      </w:r>
    </w:p>
    <w:p>
      <w:pPr>
        <w:pStyle w:val="Heading3"/>
      </w:pPr>
      <w:r>
        <w:t>Explanations for the additional workbook examples</w:t>
      </w:r>
    </w:p>
    <w:p>
      <w:pPr>
        <w:pStyle w:val="Heading3"/>
      </w:pPr>
      <w:r>
        <w:t>W1 Explain the mechanism</w:t>
      </w:r>
    </w:p>
    <w:p>
      <w:r>
        <w:t>Explain the weekly mechanism in your own words. Use the worked scenario to name its input, decision rule and output.</w:t>
      </w:r>
    </w:p>
    <w:p>
      <w:r>
        <w:t>Teacher explanation: Untrusted input must be treated according to a contract before reaching code, queries or tools. Data that resembles instructions does not acquire execution authority. For the toy lookup accept room IDs matching one uppercase letter plus one digit. Perform exact dictionary lookup; never evaluate user strings as code. Reject invalid length or characters.</w:t>
      </w:r>
    </w:p>
    <w:p>
      <w:pPr>
        <w:pStyle w:val="Heading3"/>
      </w:pPr>
      <w:r>
        <w:t>W2 Trace the worked case</w:t>
      </w:r>
    </w:p>
    <w:p>
      <w:r>
        <w:t>Inputs A1 and delete_all() are supplied to room lookup. Show the intermediate steps and give the conclusion with its scope.</w:t>
      </w:r>
    </w:p>
    <w:p>
      <w:r>
        <w:t>Teacher explanation: A1 passes the format; delete_all() fails. Neither is executed as code, including any instruction-shaped string.</w:t>
      </w:r>
    </w:p>
    <w:p>
      <w:pPr>
        <w:pStyle w:val="Heading3"/>
      </w:pPr>
      <w:r>
        <w:t>W3 Audit the limit</w:t>
      </w:r>
    </w:p>
    <w:p>
      <w:r>
        <w:t>A report omits this qualification: A format check does not grant resource access; authorisation follows separately. Explain how omitting it could change a reader's interpretation, and write an accurate replacement.</w:t>
      </w:r>
    </w:p>
    <w:p>
      <w:r>
        <w:t>Teacher explanation: A format check does not grant resource access; authorisation follows separately. State the observed result separately from the unverified or out-of-scope claim; preserve the original evidence rather than inventing a missing fact.</w:t>
      </w:r>
    </w:p>
    <w:p>
      <w:pPr>
        <w:pStyle w:val="Heading3"/>
      </w:pPr>
      <w:r>
        <w:t>W4 Apply a new case independently</w:t>
      </w:r>
    </w:p>
    <w:p>
      <w:r>
        <w:t>Classify B2, b2, B22 and B2; DROP under the exact format.</w:t>
      </w:r>
    </w:p>
    <w:p>
      <w:r>
        <w:t>Teacher explanation: B2 valid; lowercase, extra digit and injected command text invalid. Validation and safe lookup both apply.</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A format check does not grant resource access; authorisation follows separately. The new case should test this particular mechanism rather than merely restate the original result.</w:t>
      </w:r>
    </w:p>
    <w:p>
      <w:pPr>
        <w:pStyle w:val="Heading3"/>
      </w:pPr>
      <w:r>
        <w:t>Abstention and clarification — W1 Explain the mechanism</w:t>
      </w:r>
    </w:p>
    <w:p>
      <w:r>
        <w:t>Explain the weekly mechanism in your own words. Use the worked scenario to name its input, decision rule and output.</w:t>
      </w:r>
    </w:p>
    <w:p>
      <w:r>
        <w:t>Teacher explanation: Abstention and clarification are valid responses when necessary evidence is missing. Ask for the smallest fact that can resolve the decision. Separate answerable claims from unresolved ones. Clarify ambiguous input when a user can supply the needed fact; abstain from unsupported conclusions when evidence is unavailable. Define acceptable fallback before evaluation.</w:t>
      </w:r>
    </w:p>
    <w:p>
      <w:pPr>
        <w:pStyle w:val="Heading3"/>
      </w:pPr>
      <w:r>
        <w:t>Abstention and clarification — W2 Trace the worked case</w:t>
      </w:r>
    </w:p>
    <w:p>
      <w:r>
        <w:t>Approval names room B, but two registers give capacities 8 and 12 with no precedence rule. The question asks maximum attendance. Show the intermediate steps and give the conclusion with its scope.</w:t>
      </w:r>
    </w:p>
    <w:p>
      <w:r>
        <w:t>Teacher explanation: Do not pick the larger or smaller value as established fact. Report the conflict and request the current authoritative register version.</w:t>
      </w:r>
    </w:p>
    <w:p>
      <w:pPr>
        <w:pStyle w:val="Heading3"/>
      </w:pPr>
      <w:r>
        <w:t>Abstention and clarification — W3 Audit the limit</w:t>
      </w:r>
    </w:p>
    <w:p>
      <w:r>
        <w:t>A report omits this qualification: An abstention avoids an unsupported answer but does not automatically make a system useful; evaluate appropriate answers and appropriate fallbacks separately. Explain how omitting it could change a reader's interpretation, and write an accurate replacement.</w:t>
      </w:r>
    </w:p>
    <w:p>
      <w:r>
        <w:t>Teacher explanation: An abstention avoids an unsupported answer but does not automatically make a system useful; evaluate appropriate answers and appropriate fallbacks separately. State the observed result separately from the unverified or out-of-scope claim; preserve the original evidence rather than inventing a missing fact.</w:t>
      </w:r>
    </w:p>
    <w:p>
      <w:pPr>
        <w:pStyle w:val="Heading3"/>
      </w:pPr>
      <w:r>
        <w:t>Abstention and clarification — W4 Apply a new case independently</w:t>
      </w:r>
    </w:p>
    <w:p>
      <w:r>
        <w:t>The request says use the hall, but approved rooms include H1 and H2 with different capacities. No hall ID is given. What question should be asked?</w:t>
      </w:r>
    </w:p>
    <w:p>
      <w:r>
        <w:t>Teacher explanation: Ask which hall ID the request refers to, then match its approval and capacity. Do not guess from the available capacities.</w:t>
      </w:r>
    </w:p>
    <w:p>
      <w:pPr>
        <w:pStyle w:val="Heading3"/>
      </w:pPr>
      <w:r>
        <w:t>Abstention and clarification —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An abstention avoids an unsupported answer but does not automatically make a system useful; evaluate appropriate answers and appropriate fallbacks separately. The new case should test this particular mechanism rather than merely restate the original result.</w:t>
      </w:r>
    </w:p>
    <w:p>
      <w:pPr>
        <w:pStyle w:val="Heading3"/>
      </w:pPr>
      <w:r>
        <w:t>Assess independent transfer</w:t>
      </w:r>
    </w:p>
    <w:p>
      <w:r>
        <w:t>Selected case: Classify B2, b2, B22 and B2; DROP under the exact format.</w:t>
      </w:r>
    </w:p>
    <w:p>
      <w:pPr>
        <w:pStyle w:val="Heading3"/>
      </w:pPr>
      <w:r>
        <w:t>Selected case answer</w:t>
      </w:r>
    </w:p>
    <w:p>
      <w:r>
        <w:t>Teacher explanation: B2 valid; lowercase, extra digit and injected command text invalid. Validation and safe lookup both apply.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Verified Study Buddy</w:t>
      </w:r>
    </w:p>
    <w:p>
      <w:r>
        <w:t>Implement risk levels, refusal language, safe alternatives, and teacher-review gates.</w:t>
      </w:r>
    </w:p>
    <w:p>
      <w:r>
        <w:t>Keep the decision, input, result, explanation and remaining limitation in the project evidence record. Retrieve this record next week rather than restarting the project.</w:t>
      </w:r>
    </w:p>
    <w:p>
      <w:pPr>
        <w:pStyle w:val="Heading3"/>
      </w:pPr>
      <w:r>
        <w:t>Support and stretch</w:t>
      </w:r>
    </w:p>
    <w:p>
      <w:r>
        <w:t>Provide one short approved passage; separate instruction, input, output and evidence. Stretch: introduce an unsupported claim or conflicting source and validate claim by claim with a fallback.</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32: Human + AI Workflow. Retrieve today’s evidence and identify what carries forward and what is new.</w:t>
      </w:r>
    </w:p>
    <w:p>
      <w:pPr>
        <w:pStyle w:val="Heading3"/>
      </w:pPr>
      <w:r>
        <w:t>Support and fresh reassessment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W4: B2 valid; lowercase, extra digit and injected command text invalid. Validation and safe lookup both apply. Require intermediate reasoning and the stated scope. Fresh retry: Inputs Z9 and Z9 followed by a newline. Expected reasoning: Z9 valid; extra newline fails exact full-match policy. Do not silently trim unless specified. If students need support, record it and reassess with another new case rather than awarding independence to a copied answer.</w:t>
      </w:r>
    </w:p>
    <w:p>
      <w:r>
        <w:t>Next connection: Sandboxing and resource limits. Preserve the current case record and retrieve its evidence boundary before moving on.</w:t>
      </w:r>
    </w:p>
    <w:p>
      <w:pPr>
        <w:pStyle w:val="Heading3"/>
      </w:pPr>
      <w:r>
        <w:t>Readiness and reassessment for Abstention and clarification</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W4: Ask which hall ID the request refers to, then match its approval and capacity. Do not guess from the available capacities. Require intermediate reasoning and the stated scope. Fresh retry: Two approved labs L1, L2 and user says the lab. Capacity differs. Expected reasoning: Ask for lab ID. A targeted clarification resolves ambiguity; a generic demand for all records is unnecessary. If students need support, record it and reassess with another new case rather than awarding independence to a copied answer.</w:t>
      </w:r>
    </w:p>
    <w:p>
      <w:pPr>
        <w:pStyle w:val="Heading3"/>
      </w:pPr>
      <w:r>
        <w:t>Plan the delayed return</w:t>
      </w:r>
    </w:p>
    <w:p>
      <w:r>
        <w:t>Suggested return points in this level: ai-3/32, ai-3/34.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Verified Study Buddy, save the input, procedure, observed result and limitation of this check. Label this worked example as practice; use a different, previously unreviewed case when checking independent understanding.</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