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ai-5/30</w:t>
      </w:r>
    </w:p>
    <w:p>
      <w:pPr>
        <w:pStyle w:val="Title"/>
      </w:pPr>
      <w:r>
        <w:t>Dataset shift in neural models</w:t>
      </w:r>
    </w:p>
    <w:p>
      <w:r>
        <w:t>Project: Image-pattern Network Investigation</w:t>
      </w:r>
    </w:p>
    <w:p>
      <w:pPr>
        <w:pStyle w:val="Heading1"/>
      </w:pPr>
      <w:r>
        <w:t>01. Prepare the purpose, prerequisites and materials</w:t>
      </w:r>
    </w:p>
    <w:p>
      <w:pPr>
        <w:pStyle w:val="Heading3"/>
      </w:pPr>
      <w:r>
        <w:t>Teach the learning cycle</w:t>
      </w:r>
    </w:p>
    <w:p>
      <w:r>
        <w:t>Primary target: Explain how a changed input mix can change overall accuracy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r>
        <w:t>Use two 45-minute sessions. Work from counts before percentages and keep the frozen model separate from the changing sample mix. The exact equal group rates are constructed for arithmetic; they do not establish a population law. A monitoring alert should lead to evidence gathering rather than an automatic causal claim or retraining decision.</w:t>
      </w:r>
    </w:p>
    <w:p>
      <w:pPr>
        <w:pStyle w:val="Heading3"/>
      </w:pPr>
      <w:r>
        <w:t>Outcomes</w:t>
      </w:r>
    </w:p>
    <w:p>
      <w:r>
        <w:t>Explain how a changed input mix can change overall accuracy</w:t>
      </w:r>
    </w:p>
    <w:p>
      <w:r>
        <w:t>Calculate group and overall results with the correct denominators</w:t>
      </w:r>
    </w:p>
    <w:p>
      <w:r>
        <w:t>Plan a shift investigation while preserving independent evaluation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Confidence is a model output, not a guarantee of familiarity or correctness. Check input conditions and independently verified outcomes rather than treating confidence as proof.</w:t>
      </w:r>
    </w:p>
    <w:p>
      <w:pPr>
        <w:pStyle w:val="Heading3"/>
      </w:pPr>
      <w:r>
        <w:t>End goal for the pictorial case</w:t>
      </w:r>
    </w:p>
    <w:p>
      <w:r>
        <w:t>By the end, I can explain dataset shift in neural models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p>
      <w:r>
        <w:t>Clear accuracy is 72 / 80 = 90 percent in development and 18 / 20 = 90 percent in new use. Dim accuracy is 10 / 20 = 50 percent and 40 / 80 = 50 percent. The observed group rates are unchanged, but the group proportions are different.</w:t>
      </w:r>
    </w:p>
    <w:p>
      <w:r>
        <w:t>Development accuracy is (72 + 10) / (80 + 20) = 82 percent. New-use accuracy is (18 + 40) / (20 + 80) = 58 percent. The drop is 24 percentage points. Taking the unweighted mean of 90 and 50 gives 70 percent, which is not either cohort’s overall accuracy because neither cohort has equal group sizes.</w:t>
      </w:r>
    </w:p>
    <w:p>
      <w:r>
        <w:t>Each pair is (cases, correct), and the function assumes integer counts for non-overlapping groups. It rejects empty inputs, groups with no cases and impossible correct counts. A group with no observed cases has an undefined empirical accuracy, not zero accuracy. Do not count the same example in two groups when forming an overall total.</w:t>
      </w:r>
    </w:p>
    <w:p>
      <w:r>
        <w:t>Equivalently, weight each group accuracy by its share of cases: development is 0.80 times 0.90 + 0.20 times 0.50 = 0.82; new use is 0.20 times 0.90 + 0.80 times 0.50 = 0.58.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Guided: 45 clear plus 25 dim cases are correct, giving 70 of 100 or 70 percent. This assumes exactly the stated group rates hold in that cohort. Exit: the mix change is observed, but accuracy is unknown without checked labels. Gather a labelled audit and check model/pipeline versions. Cases used to choose or fit a change cannot also provide independent final evidence. Reserve new appropriate cases and compare original and revised models on the same cases with group and overall results.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The arithmetic explains this constructed aggregate difference. It does not prove that dim lighting caused each real error or that these group rates will stay fixed in future samples. 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shift in neural models</w:t>
      </w:r>
    </w:p>
    <w:p>
      <w:r>
        <w:t>Separate within-setting performance from changing setting proportions.</w:t>
      </w:r>
    </w:p>
    <w:p>
      <w:pPr>
        <w:pStyle w:val="Heading3"/>
      </w:pPr>
      <w:r>
        <w:t>The facts we will use</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r>
        <w:t>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What this example does not establish</w:t>
      </w:r>
    </w:p>
    <w:p>
      <w:r>
        <w:t>Real shift can also change labels, sensors and within-slice behaviour; this toy decomposition isolates only mixture change.</w:t>
      </w:r>
    </w:p>
    <w:p>
      <w:pPr>
        <w:pStyle w:val="Heading3"/>
      </w:pPr>
      <w:r>
        <w:t>Change one thing in the pictured case</w:t>
      </w:r>
    </w:p>
    <w:p>
      <w:r>
        <w:t>Change: New-use mix returns to40 bright and 10 dim with the same slice rates.</w:t>
      </w:r>
    </w:p>
    <w:p>
      <w:r>
        <w:t>Prediction: Pooled accuracy returns to74%.</w:t>
      </w:r>
    </w:p>
    <w:p>
      <w:r>
        <w:t>Reason: The mixture weights change, while each slice’s conditional performance stays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Week 29’s warning that confident outputs can be wrong on unfamiliar inputs.</w:t>
            </w:r>
          </w:p>
        </w:tc>
      </w:tr>
      <w:tr>
        <w:tc>
          <w:tcPr>
            <w:tcW w:type="dxa" w:w="5112"/>
          </w:tcPr>
          <w:p>
            <w:r>
              <w:t>7 to 18 minutes</w:t>
            </w:r>
          </w:p>
        </w:tc>
        <w:tc>
          <w:tcPr>
            <w:tcW w:type="dxa" w:w="5112"/>
          </w:tcPr>
          <w:p>
            <w:r>
              <w:t>Read the cohort table and complete W1. Mark fixed checkpoint and pipeline versus changed mix.</w:t>
            </w:r>
          </w:p>
        </w:tc>
      </w:tr>
      <w:tr>
        <w:tc>
          <w:tcPr>
            <w:tcW w:type="dxa" w:w="5112"/>
          </w:tcPr>
          <w:p>
            <w:r>
              <w:t>18 to 32 minutes</w:t>
            </w:r>
          </w:p>
        </w:tc>
        <w:tc>
          <w:tcPr>
            <w:tcW w:type="dxa" w:w="5112"/>
          </w:tcPr>
          <w:p>
            <w:r>
              <w:t>Compute totals and W2. Compare the weighted result with the tempting unweighted average.</w:t>
            </w:r>
          </w:p>
        </w:tc>
      </w:tr>
      <w:tr>
        <w:tc>
          <w:tcPr>
            <w:tcW w:type="dxa" w:w="5112"/>
          </w:tcPr>
          <w:p>
            <w:r>
              <w:t>32 to 45 minutes</w:t>
            </w:r>
          </w:p>
        </w:tc>
        <w:tc>
          <w:tcPr>
            <w:tcW w:type="dxa" w:w="5112"/>
          </w:tcPr>
          <w:p>
            <w:r>
              <w:t>Trace the optional count function and the visual; explain why group sizes affect overall accuracy.</w:t>
            </w:r>
          </w:p>
        </w:tc>
      </w:tr>
      <w:tr>
        <w:tc>
          <w:tcPr>
            <w:tcW w:type="dxa" w:w="5112"/>
          </w:tcPr>
          <w:p>
            <w:r>
              <w:t>Session 2 start to 8 minutes</w:t>
            </w:r>
          </w:p>
        </w:tc>
        <w:tc>
          <w:tcPr>
            <w:tcW w:type="dxa" w:w="5112"/>
          </w:tcPr>
          <w:p>
            <w:r>
              <w:t>Complete the guided balanced cohort and name the fixed-rate assumption.</w:t>
            </w:r>
          </w:p>
        </w:tc>
      </w:tr>
      <w:tr>
        <w:tc>
          <w:tcPr>
            <w:tcW w:type="dxa" w:w="5112"/>
          </w:tcPr>
          <w:p>
            <w:r>
              <w:t>8 to 20 minutes</w:t>
            </w:r>
          </w:p>
        </w:tc>
        <w:tc>
          <w:tcPr>
            <w:tcW w:type="dxa" w:w="5112"/>
          </w:tcPr>
          <w:p>
            <w:r>
              <w:t>Complete W3 and discuss missing labels, pipeline changes and possible learned shortcuts.</w:t>
            </w:r>
          </w:p>
        </w:tc>
      </w:tr>
      <w:tr>
        <w:tc>
          <w:tcPr>
            <w:tcW w:type="dxa" w:w="5112"/>
          </w:tcPr>
          <w:p>
            <w:r>
              <w:t>20 to 35 minutes</w:t>
            </w:r>
          </w:p>
        </w:tc>
        <w:tc>
          <w:tcPr>
            <w:tcW w:type="dxa" w:w="5112"/>
          </w:tcPr>
          <w:p>
            <w:r>
              <w:t>Collect W4 independently, requiring counts, group rates, both totals and percentage points.</w:t>
            </w:r>
          </w:p>
        </w:tc>
      </w:tr>
      <w:tr>
        <w:tc>
          <w:tcPr>
            <w:tcW w:type="dxa" w:w="5112"/>
          </w:tcPr>
          <w:p>
            <w:r>
              <w:t>35 to 45 minutes</w:t>
            </w:r>
          </w:p>
        </w:tc>
        <w:tc>
          <w:tcPr>
            <w:tcW w:type="dxa" w:w="5112"/>
          </w:tcPr>
          <w:p>
            <w:r>
              <w:t>Use W5 and the exit response to protect independent evaluation. Give feedback, then a fresh retry.</w:t>
            </w:r>
          </w:p>
        </w:tc>
      </w:tr>
    </w:tbl>
    <w:p>
      <w:r>
        <w:t>Use the worked example in Sections 3 and 6. Collect a prediction before revealing its result; ask the learner to point to each intermediate fact.</w:t>
      </w:r>
    </w:p>
    <w:p>
      <w:r>
        <w:t>Provide separate columns for cases, correct, errors and group share. Use 100 counters or a drawn 100-cell grid to change the mix while keeping group rates fixed. Extension: with clear share s and fixed rates 0.90 and 0.50, overall accuracy is 0.50 + 0.40*s. Test s = 0, 0.5 and 1, and explain why observed data need not keep those rates fixed.</w:t>
      </w:r>
    </w:p>
    <w:p>
      <w:pPr>
        <w:pStyle w:val="Heading3"/>
      </w:pPr>
      <w:r>
        <w:t>Reduce help deliberately</w:t>
      </w:r>
    </w:p>
    <w:p>
      <w:r>
        <w:t>Completion task: Calculate overall correct counts, accuracy and errors in both cohorts, plus the percentage-point drop. Explain why averaging 90 percent and 50 percent without weights gives the wrong overall result here.</w:t>
      </w:r>
    </w:p>
    <w:p>
      <w:r>
        <w:t>Teacher check: Teacher explanation: Development has 82 correct and 18 errors out of 100, or 82 percent accuracy. New use has 58 correct and 42 errors out of 100, or 58 percent. The drop is 24 percentage points. An unweighted mean gives 70 percent and ignores the unequal group sizes.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shift in neural models. Proposed explanation: “Average the percentages regardless of group sizes”. Decide whether this explanation is supported. Point to the step or supplied fact that decides; explain your repair if needed.</w:t>
      </w:r>
    </w:p>
    <w:p>
      <w:r>
        <w:t>Expected correction: Overall accuracy is total correct divided by total cases; group accuracies need weights proportional to group size.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Did the supplied model’s dim-light accuracy deteriorate? Point to the relevant step in the picture, then write the changed result and the rule or evidence that supports it.</w:t>
      </w:r>
    </w:p>
    <w:p>
      <w:pPr>
        <w:pStyle w:val="Heading3"/>
      </w:pPr>
      <w:r>
        <w:t>Reasoned teacher answer</w:t>
      </w:r>
    </w:p>
    <w:p>
      <w:r>
        <w:t>No, it remains50%. The pooled drop from 74% to56% reflects a larger proportion of dim cases, not changed within-slice rates. Changed-case check: Pooled accuracy returns to74%. The mixture weights change, while each slice’s conditional performance stays fixed.</w:t>
      </w:r>
    </w:p>
    <w:p>
      <w:r>
        <w:t>Changed-case reasoning: Pooled accuracy returns to74%. The mixture weights change, while each slice’s conditional performance stays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Average the percentages regardless of group sizes: Overall accuracy is total correct divided by total cases; group accuracies need weights proportional to group size.</w:t>
      </w:r>
    </w:p>
    <w:p>
      <w:r>
        <w:t>A shift alert proves a loss of accuracy: Input changes may help, hurt or leave accuracy unchanged; verified outcomes are needed to measure performance.</w:t>
      </w:r>
    </w:p>
    <w:p>
      <w:r>
        <w:t>An unchanged input summary proves nothing changed: A summary can miss relevant differences, and the input-label relationship or labelling policy can change without an obvious input shift.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45 clear plus 25 dim cases are correct, giving 70 of 100 or 70 percent. This assumes exactly the stated group rates hold in that cohort. Exit: the mix change is observed, but accuracy is unknown without checked labels. Gather a labelled audit and check model/pipeline versions. Cases used to choose or fit a change cannot also provide independent final evidence. Reserve new appropriate cases and compare original and revised models on the same cases with group and overall results.</w:t>
      </w:r>
    </w:p>
    <w:p>
      <w:pPr>
        <w:pStyle w:val="Heading3"/>
      </w:pPr>
      <w:r>
        <w:t>W1 Audit the two cohorts</w:t>
      </w:r>
    </w:p>
    <w:p>
      <w:r>
        <w:t>From the table, calculate clear and dim accuracy in each cohort and the clear/dim proportions. Which observed quantities change, and which remain the same?</w:t>
      </w:r>
    </w:p>
    <w:p>
      <w:r>
        <w:t>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W2 Use the right denominator</w:t>
      </w:r>
    </w:p>
    <w:p>
      <w:r>
        <w:t>Calculate overall correct counts, accuracy and errors in both cohorts, plus the percentage-point drop. Explain why averaging 90 percent and 50 percent without weights gives the wrong overall result here.</w:t>
      </w:r>
    </w:p>
    <w:p>
      <w:r>
        <w:t>Teacher explanation: Development has 82 correct and 18 errors out of 100, or 82 percent accuracy. New use has 58 correct and 42 errors out of 100, or 58 percent. The drop is 24 percentage points. An unweighted mean gives 70 percent and ignores the unequal group sizes.</w:t>
      </w:r>
    </w:p>
    <w:p>
      <w:pPr>
        <w:pStyle w:val="Heading3"/>
      </w:pPr>
      <w:r>
        <w:t>W3 Separate an alert from an outcome</w:t>
      </w:r>
    </w:p>
    <w:p>
      <w:r>
        <w:t>New-use monitoring shows more dim images but reference labels have not arrived. What can you report now, what can you not calculate, and what checks should precede blaming the neural network?</w:t>
      </w:r>
    </w:p>
    <w:p>
      <w:r>
        <w:t>Teacher explanation: Report the observed change in group proportions with counts and period. Current accuracy and error patterns need verified outcomes. Check checkpoint and preprocessing versions, group definitions, input quality and label policy; collect a representative labelled audit sample before concluding how performance changed.</w:t>
      </w:r>
    </w:p>
    <w:p>
      <w:pPr>
        <w:pStyle w:val="Heading3"/>
      </w:pPr>
      <w:r>
        <w:t>W4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r>
        <w:t>Teacher explanation: P is 80 percent correct and Q is 50 percent correct in both cohorts. Development accuracy is 68 of 100, or 68 percent; new-use accuracy is 56 of 100, or 56 percent. The drop is 12 percentage points. Equal-sized groups at those rates give 65 percent accuracy.</w:t>
      </w:r>
    </w:p>
    <w:p>
      <w:pPr>
        <w:pStyle w:val="Heading3"/>
      </w:pPr>
      <w:r>
        <w:t>W5 Protect the comparison</w:t>
      </w:r>
    </w:p>
    <w:p>
      <w:r>
        <w:t>A team retrains using new-use errors, then evaluates on those same images and their brightened copies. Explain why the score is not independent evidence and propose a comparison that includes the original model.</w:t>
      </w:r>
    </w:p>
    <w:p>
      <w:r>
        <w:t>Teacher explanation: The evaluated cases influenced training, and transformed copies share source content. Keep related images in one split and reserve untouched source groups or an appropriate later period. Evaluate original and revised models on identical reserved examples, with checked labels, group counts and rates, overall accuracy, and documented preprocessing.</w:t>
      </w:r>
    </w:p>
    <w:p>
      <w:pPr>
        <w:pStyle w:val="Heading3"/>
      </w:pPr>
      <w:r>
        <w:t>Independent assessment and fresh retry</w:t>
      </w:r>
    </w:p>
    <w:p>
      <w:r>
        <w:t>W4 requires group rates 80 and 50 percent, overall accuracies 68 and 56 percent, a 12-percentage-point drop, and equal-group accuracy 65 percent. Fresh retry: development P has 75 cases with 60 correct; Q has 25 with 10 correct. New use P has 25 with 20 correct; Q has 75 with 30 correct. Group rates are 80 and 40 percent in both. Overall accuracy changes from 70 to 50 percent, a 20-percentage-point drop. Equal-sized groups at those rates give 60 percent.</w:t>
      </w:r>
    </w:p>
    <w:p>
      <w:pPr>
        <w:pStyle w:val="Heading3"/>
      </w:pPr>
      <w:r>
        <w:t>Assess independent transfer</w:t>
      </w:r>
    </w:p>
    <w:p>
      <w:r>
        <w:t>Selected case: 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Selected case answer</w:t>
      </w:r>
    </w:p>
    <w:p>
      <w:r>
        <w:t>Teacher explanation: P is 80 percent correct and Q is 50 percent correct in both cohorts. Development accuracy is 68 of 100, or 68 percent; new-use accuracy is 56 of 100, or 56 percent. The drop is 12 percentage points. Equal-sized groups at those rates give 65 percent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r>
        <w:t>Provide separate columns for cases, correct, errors and group share. Use 100 counters or a drawn 100-cell grid to change the mix while keeping group rates fixed. Extension: with clear share s and fixed rates 0.90 and 0.50, overall accuracy is 0.50 + 0.40*s. Test s = 0, 0.5 and 1, and explain why observed data need not keep those rates fixed.</w:t>
      </w:r>
    </w:p>
    <w:p>
      <w:r>
        <w:t>Week 31 measures efficiency and resource use while keeping task quality, hardware and comparison conditions explicit.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ai-5/31, ai-5/33,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