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ai-6/5</w:t>
      </w:r>
    </w:p>
    <w:p>
      <w:pPr>
        <w:pStyle w:val="Title"/>
      </w:pPr>
      <w:r>
        <w:t>Authentication and authorisation</w:t>
      </w:r>
    </w:p>
    <w:p>
      <w:r>
        <w:t>Project: Grounded Learning Service</w:t>
      </w:r>
    </w:p>
    <w:p>
      <w:pPr>
        <w:pStyle w:val="Heading1"/>
      </w:pPr>
      <w:r>
        <w:t>01. Prepare the purpose, prerequisites and materials</w:t>
      </w:r>
    </w:p>
    <w:p>
      <w:pPr>
        <w:pStyle w:val="Heading3"/>
      </w:pPr>
      <w:r>
        <w:t>Teach the learning cycle</w:t>
      </w:r>
    </w:p>
    <w:p>
      <w:r>
        <w:t>Primary target: Explain the mechanism and terminology of authentication and authorisation</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pPr>
        <w:pStyle w:val="Heading3"/>
      </w:pPr>
      <w:r>
        <w:t>Retrieval answer guidance</w:t>
      </w:r>
    </w:p>
    <w:p>
      <w:pPr>
        <w:pStyle w:val="Heading3"/>
      </w:pPr>
      <w:r>
        <w:t>Configuration and secrets</w:t>
      </w:r>
    </w:p>
    <w:p>
      <w:r>
        <w:t>Without opening the old lesson, explain one key idea from Configuration and secrets. Give an example and a mistake that the idea helps you avoid.</w:t>
      </w:r>
    </w:p>
    <w:p>
      <w:r>
        <w:t>Look for: Explain the mechanism and terminology of configuration and secrets</w:t>
      </w:r>
    </w:p>
    <w:p>
      <w:r>
        <w:t>Reference example, not the only acceptable wording: Teacher explanation: Configuration supplies non-secret settings; secrets provide privileged values. Keep secrets out of source, logs and client responses. The toy service reads DATA_VERSION from configuration and a signing secret from server-only input. Validate required settings at startup and fail clearly if absent; do not substitute a published default secret.</w:t>
      </w:r>
    </w:p>
    <w:p>
      <w:pPr>
        <w:pStyle w:val="Heading3"/>
      </w:pPr>
      <w:r>
        <w:t>Architecture and data flow</w:t>
      </w:r>
    </w:p>
    <w:p>
      <w:r>
        <w:t>Without opening the old lesson, explain one key idea from Architecture and data flow. Give an example and a mistake that the idea helps you avoid.</w:t>
      </w:r>
    </w:p>
    <w:p>
      <w:r>
        <w:t>Look for: Explain the mechanism and terminology of architecture and data flow</w:t>
      </w:r>
    </w:p>
    <w:p>
      <w:r>
        <w:t>Reference example, not the only acceptable wording: Teacher explanation: Architecture assigns responsibilities to components and shows information crossing trust boundaries. A diagram should include failure paths. Trace request validator -&gt; role filter -&gt; source lookup -&gt; response validator -&gt; result. Sources enter as data, not control instructions. Reject invalid requests before any downstream lookup.</w:t>
      </w:r>
    </w:p>
    <w:p>
      <w:r>
        <w:t>Two 45-minute sessions. Authentication identifies an actor; authorisation decides whether that actor may perform a particular operation on a particular resource. Use the supplied constructed scenarios to make the mechanism inspectable. Collect W4 before sharing solutions. Students should name intermediate evidence and limitations; classroom pacing and learning effectiveness remain unvalidated.</w:t>
      </w:r>
    </w:p>
    <w:p>
      <w:pPr>
        <w:pStyle w:val="Heading3"/>
      </w:pPr>
      <w:r>
        <w:t>Outcomes</w:t>
      </w:r>
    </w:p>
    <w:p>
      <w:r>
        <w:t>Explain the mechanism and terminology of authentication and authorisation</w:t>
      </w:r>
    </w:p>
    <w:p>
      <w:r>
        <w:t>Apply the stated procedure to a new case with a traceable result</w:t>
      </w:r>
    </w:p>
    <w:p>
      <w:r>
        <w:t>Identify an assumption or limitation and design a revealing follow-up</w:t>
      </w:r>
    </w:p>
    <w:p>
      <w:pPr>
        <w:pStyle w:val="Heading3"/>
      </w:pPr>
      <w:r>
        <w:t>Preparation</w:t>
      </w:r>
    </w:p>
    <w:p>
      <w:r>
        <w:t>Lesson and workbook; paper and pencil</w:t>
      </w:r>
    </w:p>
    <w:p>
      <w:r>
        <w:t>Calculator and optional local Python 3 for arithmetic; no live API or private data</w:t>
      </w:r>
    </w:p>
    <w:p>
      <w:r>
        <w:t>Prepare the fresh retry separately and withhold its solution until after collection</w:t>
      </w:r>
    </w:p>
    <w:p>
      <w:pPr>
        <w:pStyle w:val="Heading3"/>
      </w:pPr>
      <w:r>
        <w:t>Prerequisite answer</w:t>
      </w:r>
    </w:p>
    <w:p>
      <w:r>
        <w:t>A result depends on the inputs, procedure and conditions that produced it. Preserve data roles and distinguish observed outcomes from predictions or unmeasured conditions. If the prior concept cannot be explained, use a short retrieval activity before this chapter.</w:t>
      </w:r>
    </w:p>
    <w:p>
      <w:pPr>
        <w:pStyle w:val="Heading3"/>
      </w:pPr>
      <w:r>
        <w:t>End goal for the pictorial case</w:t>
      </w:r>
    </w:p>
    <w:p>
      <w:r>
        <w:t>Explain authentication and authorisation using the deciding step in this fictional service.</w:t>
      </w:r>
    </w:p>
    <w:p>
      <w:r>
        <w:t>This added worked case illustrates the week’s main idea. Retain all original and connected topics; schedule its practice within the teaching cycle.</w:t>
      </w:r>
    </w:p>
    <w:p>
      <w:pPr>
        <w:pStyle w:val="Heading1"/>
      </w:pPr>
      <w:r>
        <w:t>02. Explain and model the mechanism</w:t>
      </w:r>
    </w:p>
    <w:p>
      <w:r>
        <w:t>Authentication identifies an actor; authorisation decides whether that actor may perform a particular operation on a particular resource.</w:t>
      </w:r>
    </w:p>
    <w:p>
      <w:r>
        <w:t>Begin by writing the question the procedure is intended to answer. Identify the information already supplied, the information it will produce and the information still missing. These are constructed classroom examples; they do not require live accounts, private records or an external service. Do not treat a plausible explanation as a measured outcome.</w:t>
      </w:r>
    </w:p>
    <w:p>
      <w:r>
        <w:t>Use trusted session roles, never a role claimed inside user JSON. Student may read student resources; teacher may read both. Unauthenticated requests are denied.</w:t>
      </w:r>
    </w:p>
    <w:p>
      <w:r>
        <w:t>Before applying the procedure, write its units, denominator or decision boundary where relevant. A partner should be able to repeat each step using the same inputs. If a required input is absent or violates the stated contract, record that condition explicitly instead of quietly replacing it with a convenient value.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Authentication</w:t>
            </w:r>
          </w:p>
        </w:tc>
        <w:tc>
          <w:tcPr>
            <w:tcW w:type="dxa" w:w="5112"/>
          </w:tcPr>
          <w:p>
            <w:r>
              <w:t>Checking an actor identity or session</w:t>
            </w:r>
          </w:p>
        </w:tc>
      </w:tr>
      <w:tr>
        <w:tc>
          <w:tcPr>
            <w:tcW w:type="dxa" w:w="5112"/>
          </w:tcPr>
          <w:p>
            <w:r>
              <w:t>Authorisation</w:t>
            </w:r>
          </w:p>
        </w:tc>
        <w:tc>
          <w:tcPr>
            <w:tcW w:type="dxa" w:w="5112"/>
          </w:tcPr>
          <w:p>
            <w:r>
              <w:t>Checking permission for an operation/resource</w:t>
            </w:r>
          </w:p>
        </w:tc>
      </w:tr>
      <w:tr>
        <w:tc>
          <w:tcPr>
            <w:tcW w:type="dxa" w:w="5112"/>
          </w:tcPr>
          <w:p>
            <w:r>
              <w:t>Trusted role</w:t>
            </w:r>
          </w:p>
        </w:tc>
        <w:tc>
          <w:tcPr>
            <w:tcW w:type="dxa" w:w="5112"/>
          </w:tcPr>
          <w:p>
            <w:r>
              <w:t>A role established by the service rather than user-claimed data</w:t>
            </w:r>
          </w:p>
        </w:tc>
      </w:tr>
    </w:tbl>
    <w:p>
      <w:pPr>
        <w:pStyle w:val="Heading3"/>
      </w:pPr>
      <w:r>
        <w:t>Authentication and authorisation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A student session submits role=teacher in request data and asks for a guide.</w:t>
            </w:r>
          </w:p>
        </w:tc>
        <w:tc>
          <w:tcPr>
            <w:tcW w:type="dxa" w:w="3408"/>
          </w:tcPr>
          <w:p>
            <w:r>
              <w:t>Use trusted session roles, never a role claimed inside user JSON. Student may read student resources; teacher may read both. Unauthenticated requests are denied.</w:t>
            </w:r>
          </w:p>
        </w:tc>
        <w:tc>
          <w:tcPr>
            <w:tcW w:type="dxa" w:w="3408"/>
          </w:tcPr>
          <w:p>
            <w:r>
              <w:t>The trusted session remains student; deny teacher guide access. A claimed role cannot change authenticated authority.</w:t>
            </w:r>
          </w:p>
        </w:tc>
      </w:tr>
    </w:tbl>
    <w:p>
      <w:r>
        <w:t>The figure connects this chapter's worked input, declared procedure and result. Read the complete worked reasoning for qualifiers and intermediate steps; the abbreviated labels do not replace that reasoning.</w:t>
      </w:r>
    </w:p>
    <w:p>
      <w:r>
        <w:t>Guided: The trusted session remains student; deny teacher guide access. A claimed role cannot change authenticated authority. Qualification: Successful authentication does not grant every resource or operation. Exit: accept a concrete variation with its predicted outcome and a stated condition that would challenge the mechanism; reject a claim resting on unmeasured evidence.</w:t>
      </w:r>
    </w:p>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r>
        <w:t>A student session submits role=teacher in request data and asks for a guide.</w:t>
      </w:r>
    </w:p>
    <w:p>
      <w:r>
        <w:t>The trusted session remains student; deny teacher guide access. A claimed role cannot change authenticated authority.</w:t>
      </w:r>
    </w:p>
    <w:p>
      <w:r>
        <w:t>Compare the intermediate evidence with the final statement. Explain why each number or decision follows from the stated inputs. The conclusion belongs to this scenario and procedure; changing the inputs, evaluation population or authority can change what it establishes. Retain the raw record so a later revision can be compared honestly.</w:t>
      </w:r>
    </w:p>
    <w:p>
      <w:r>
        <w:t>Optional local lab: predict the printed result before running this standalone Python 3 example. Change one relevant boundary input, record the outcome and state the contract or statistical assumptions. The program uses fictional values and the Python standard library; it performs no external operations.</w:t>
      </w:r>
    </w:p>
    <w:p>
      <w:r>
        <w:rPr>
          <w:rFonts w:ascii="Courier New" w:hAnsi="Courier New"/>
          <w:sz w:val="18"/>
        </w:rPr>
        <w:t>def may_read(role, resource_role):</w:t>
        <w:br/>
        <w:t xml:space="preserve">    if role not in ('student', 'teacher') or resource_role not in ('student', 'teacher'):</w:t>
        <w:br/>
        <w:t xml:space="preserve">        return False</w:t>
        <w:br/>
        <w:t xml:space="preserve">    return role == 'teacher' or resource_role == 'student'</w:t>
        <w:br/>
        <w:br/>
        <w:t>print(may_read("student", "teacher"))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Authentication and authorisation</w:t>
      </w:r>
    </w:p>
    <w:p>
      <w:r>
        <w:t>A verified reader cannot edit. Jo logs in as a verified museum volunteer and asks to edit card C.</w:t>
      </w:r>
    </w:p>
    <w:p>
      <w:pPr>
        <w:pStyle w:val="Heading3"/>
      </w:pPr>
      <w:r>
        <w:t>The facts we will use</w:t>
      </w:r>
    </w:p>
    <w:p>
      <w:r>
        <w:t>Trusted policy grants volunteers read access to C; only curators may edit it.</w:t>
      </w:r>
    </w:p>
    <w:p>
      <w:r>
        <w:drawing>
          <wp:inline xmlns:a="http://schemas.openxmlformats.org/drawingml/2006/main" xmlns:pic="http://schemas.openxmlformats.org/drawingml/2006/picture">
            <wp:extent cx="5486400" cy="5185229"/>
            <wp:docPr id="1" name="Picture 1" descr="Authentication and authorisation. Identify Jo: Authentication establishes Jo’s identity and volunteer role.. Check the action: Editing C requires curator authority.. Deny the edit: Keep C unchanged; the authenticated volunteer lacks this permission."/>
            <wp:cNvGraphicFramePr>
              <a:graphicFrameLocks noChangeAspect="1"/>
            </wp:cNvGraphicFramePr>
            <a:graphic>
              <a:graphicData uri="http://schemas.openxmlformats.org/drawingml/2006/picture">
                <pic:pic>
                  <pic:nvPicPr>
                    <pic:cNvPr id="0" name="academy-visual-ai-6-5.png"/>
                    <pic:cNvPicPr/>
                  </pic:nvPicPr>
                  <pic:blipFill>
                    <a:blip r:embed="rId9"/>
                    <a:stretch>
                      <a:fillRect/>
                    </a:stretch>
                  </pic:blipFill>
                  <pic:spPr>
                    <a:xfrm>
                      <a:off x="0" y="0"/>
                      <a:ext cx="5486400" cy="518522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Identify Jo</w:t>
            </w:r>
          </w:p>
        </w:tc>
        <w:tc>
          <w:tcPr>
            <w:tcW w:type="dxa" w:w="5112"/>
          </w:tcPr>
          <w:p>
            <w:r>
              <w:t>Authentication establishes Jo’s identity and volunteer role.</w:t>
            </w:r>
          </w:p>
        </w:tc>
      </w:tr>
      <w:tr>
        <w:tc>
          <w:tcPr>
            <w:tcW w:type="dxa" w:w="5112"/>
          </w:tcPr>
          <w:p>
            <w:r>
              <w:t>2. Check the action</w:t>
            </w:r>
          </w:p>
        </w:tc>
        <w:tc>
          <w:tcPr>
            <w:tcW w:type="dxa" w:w="5112"/>
          </w:tcPr>
          <w:p>
            <w:r>
              <w:t>Editing C requires curator authority.</w:t>
            </w:r>
          </w:p>
        </w:tc>
      </w:tr>
      <w:tr>
        <w:tc>
          <w:tcPr>
            <w:tcW w:type="dxa" w:w="5112"/>
          </w:tcPr>
          <w:p>
            <w:r>
              <w:t>3. Deny the edit</w:t>
            </w:r>
          </w:p>
        </w:tc>
        <w:tc>
          <w:tcPr>
            <w:tcW w:type="dxa" w:w="5112"/>
          </w:tcPr>
          <w:p>
            <w:r>
              <w:t>Keep C unchanged; the authenticated volunteer lacks this permission.</w:t>
            </w:r>
          </w:p>
        </w:tc>
      </w:tr>
    </w:tbl>
    <w:p>
      <w:r>
        <w:t>Match each pictured step to the supplied facts. This is a worked teaching case, not an independent assessment.</w:t>
      </w:r>
    </w:p>
    <w:p>
      <w:pPr>
        <w:pStyle w:val="Heading3"/>
      </w:pPr>
      <w:r>
        <w:t>Why this result follows</w:t>
      </w:r>
    </w:p>
    <w:p>
      <w:r>
        <w:t>Authentication establishes identity. Authorisation compares that identity with the requested action and resource.</w:t>
      </w:r>
    </w:p>
    <w:p>
      <w:pPr>
        <w:pStyle w:val="Heading3"/>
      </w:pPr>
      <w:r>
        <w:t>What this example does not establish</w:t>
      </w:r>
    </w:p>
    <w:p>
      <w:r>
        <w:t>A role written in an ordinary request is not a trusted authentication claim.</w:t>
      </w:r>
    </w:p>
    <w:p>
      <w:pPr>
        <w:pStyle w:val="Heading3"/>
      </w:pPr>
      <w:r>
        <w:t>Change one thing in the pictured case</w:t>
      </w:r>
    </w:p>
    <w:p>
      <w:r>
        <w:t>Change: Use a verified curator permitted to edit C.</w:t>
      </w:r>
    </w:p>
    <w:p>
      <w:r>
        <w:t>Prediction: The authorisation gate allows the edit, subject to other declared checks.</w:t>
      </w:r>
    </w:p>
    <w:p>
      <w:r>
        <w:t>Reason: The trusted role now matches this operation and object.</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Time or stage</w:t>
            </w:r>
          </w:p>
        </w:tc>
        <w:tc>
          <w:tcPr>
            <w:tcW w:type="dxa" w:w="5112"/>
          </w:tcPr>
          <w:p>
            <w:r>
              <w:t>Teacher action</w:t>
            </w:r>
          </w:p>
        </w:tc>
      </w:tr>
      <w:tr>
        <w:tc>
          <w:tcPr>
            <w:tcW w:type="dxa" w:w="5112"/>
          </w:tcPr>
          <w:p>
            <w:r>
              <w:t>Session 1: 0–7 minutes</w:t>
            </w:r>
          </w:p>
        </w:tc>
        <w:tc>
          <w:tcPr>
            <w:tcW w:type="dxa" w:w="5112"/>
          </w:tcPr>
          <w:p>
            <w:r>
              <w:t>Retrieve the prerequisite; identify the input, procedure and evidence source.</w:t>
            </w:r>
          </w:p>
        </w:tc>
      </w:tr>
      <w:tr>
        <w:tc>
          <w:tcPr>
            <w:tcW w:type="dxa" w:w="5112"/>
          </w:tcPr>
          <w:p>
            <w:r>
              <w:t>7–18 minutes</w:t>
            </w:r>
          </w:p>
        </w:tc>
        <w:tc>
          <w:tcPr>
            <w:tcW w:type="dxa" w:w="5112"/>
          </w:tcPr>
          <w:p>
            <w:r>
              <w:t>Explain section 1 and vocabulary. Complete W1 with a mechanism-based explanation.</w:t>
            </w:r>
          </w:p>
        </w:tc>
      </w:tr>
      <w:tr>
        <w:tc>
          <w:tcPr>
            <w:tcW w:type="dxa" w:w="5112"/>
          </w:tcPr>
          <w:p>
            <w:r>
              <w:t>18–32 minutes</w:t>
            </w:r>
          </w:p>
        </w:tc>
        <w:tc>
          <w:tcPr>
            <w:tcW w:type="dxa" w:w="5112"/>
          </w:tcPr>
          <w:p>
            <w:r>
              <w:t>Trace the declared procedure and worked case. Complete W2, recording intermediate steps.</w:t>
            </w:r>
          </w:p>
        </w:tc>
      </w:tr>
      <w:tr>
        <w:tc>
          <w:tcPr>
            <w:tcW w:type="dxa" w:w="5112"/>
          </w:tcPr>
          <w:p>
            <w:r>
              <w:t>32–45 minutes</w:t>
            </w:r>
          </w:p>
        </w:tc>
        <w:tc>
          <w:tcPr>
            <w:tcW w:type="dxa" w:w="5112"/>
          </w:tcPr>
          <w:p>
            <w:r>
              <w:t>Discuss the diagram with the worked input; use W3 to distinguish measured claims and limitations.</w:t>
            </w:r>
          </w:p>
        </w:tc>
      </w:tr>
      <w:tr>
        <w:tc>
          <w:tcPr>
            <w:tcW w:type="dxa" w:w="5112"/>
          </w:tcPr>
          <w:p>
            <w:r>
              <w:t>Session 2: 0–8 minutes</w:t>
            </w:r>
          </w:p>
        </w:tc>
        <w:tc>
          <w:tcPr>
            <w:tcW w:type="dxa" w:w="5112"/>
          </w:tcPr>
          <w:p>
            <w:r>
              <w:t>Retrieve the worked reasoning and collect the guided response before discussing it.</w:t>
            </w:r>
          </w:p>
        </w:tc>
      </w:tr>
      <w:tr>
        <w:tc>
          <w:tcPr>
            <w:tcW w:type="dxa" w:w="5112"/>
          </w:tcPr>
          <w:p>
            <w:r>
              <w:t>8–20 minutes</w:t>
            </w:r>
          </w:p>
        </w:tc>
        <w:tc>
          <w:tcPr>
            <w:tcW w:type="dxa" w:w="5112"/>
          </w:tcPr>
          <w:p>
            <w:r>
              <w:t>Compare a proposed boundary variant with the original case; identify what remains fixed.</w:t>
            </w:r>
          </w:p>
        </w:tc>
      </w:tr>
      <w:tr>
        <w:tc>
          <w:tcPr>
            <w:tcW w:type="dxa" w:w="5112"/>
          </w:tcPr>
          <w:p>
            <w:r>
              <w:t>20–35 minutes</w:t>
            </w:r>
          </w:p>
        </w:tc>
        <w:tc>
          <w:tcPr>
            <w:tcW w:type="dxa" w:w="5112"/>
          </w:tcPr>
          <w:p>
            <w:r>
              <w:t>Collect W4 independently. Require the procedure trace and the bounded conclusion.</w:t>
            </w:r>
          </w:p>
        </w:tc>
      </w:tr>
      <w:tr>
        <w:tc>
          <w:tcPr>
            <w:tcW w:type="dxa" w:w="5112"/>
          </w:tcPr>
          <w:p>
            <w:r>
              <w:t>35–45 minutes</w:t>
            </w:r>
          </w:p>
        </w:tc>
        <w:tc>
          <w:tcPr>
            <w:tcW w:type="dxa" w:w="5112"/>
          </w:tcPr>
          <w:p>
            <w:r>
              <w:t>Use W5 and exit responses for feedback. Administer the fresh retry after feedback and preserve both attempts.</w:t>
            </w:r>
          </w:p>
        </w:tc>
      </w:tr>
    </w:tbl>
    <w:p>
      <w:r>
        <w:t>Use the worked example in Sections 3 and 6. Collect a prediction before revealing its result; ask the learner to point to each intermediate fact.</w:t>
      </w:r>
    </w:p>
    <w:p>
      <w:r>
        <w:t>Provide an input/procedure/result/limit frame and a calculator when needed. Ask students to identify the first step before completing the whole trace. Extension: compare two concrete variants of this mechanism while holding unrelated conditions fixed; report both successful and unsuccessful outcomes.</w:t>
      </w:r>
    </w:p>
    <w:p>
      <w:pPr>
        <w:pStyle w:val="Heading3"/>
      </w:pPr>
      <w:r>
        <w:t>Reduce help deliberately</w:t>
      </w:r>
    </w:p>
    <w:p>
      <w:r>
        <w:t>Completion task: A student session submits role=teacher in request data and asks for a guide. Show the intermediate steps and give the conclusion with its scope.</w:t>
      </w:r>
    </w:p>
    <w:p>
      <w:r>
        <w:t>Teacher check: Teacher explanation: The trusted session remains student; deny teacher guide access. A claimed role cannot change authenticated authority.</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Authentication and authorisation. Proposed explanation: “The worked result establishes every future case”. Decide whether this explanation is supported. Point to the step or supplied fact that decides; explain your repair if needed.</w:t>
      </w:r>
    </w:p>
    <w:p>
      <w:r>
        <w:t>Expected correction: Successful authentication does not grant every resource or operation.</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Explain why Jo’s valid volunteer login does not permit editing C. Which trusted role change allows the action, and why is a role written in the request insufficient?</w:t>
      </w:r>
    </w:p>
    <w:p>
      <w:pPr>
        <w:pStyle w:val="Heading3"/>
      </w:pPr>
      <w:r>
        <w:t>Reasoned teacher answer</w:t>
      </w:r>
    </w:p>
    <w:p>
      <w:r>
        <w:t>Authentication establishes Jo’s identity and volunteer role. Editing C requires curator authority. Keep C unchanged; the authenticated volunteer lacks this permission. Changed case: The authorisation gate allows the edit, subject to other declared checks. The trusted role now matches this operation and object. A role claim written in the request is untrusted and cannot replace the role established by authentication.</w:t>
      </w:r>
    </w:p>
    <w:p>
      <w:r>
        <w:t>Changed-case reasoning: The authorisation gate allows the edit, subject to other declared checks. The trusted role now matches this operation and object.</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investigation and diagnose misconceptions</w:t>
      </w:r>
    </w:p>
    <w:p>
      <w:r>
        <w:t>The worked result establishes every future case: Successful authentication does not grant every resource or operation.</w:t>
      </w:r>
    </w:p>
    <w:p>
      <w:r>
        <w:t>A missing input may be replaced without recording the change: A replacement changes the evidence or contract. Record the change and its justification; do not silently turn unknown into a measured value.</w:t>
      </w:r>
    </w:p>
    <w:p>
      <w:r>
        <w:t>Repeating an assessed case is new independent evidence: A replay checks consistency. An example used for feedback or revision cannot later be described as untouched final evaluation.</w:t>
      </w:r>
    </w:p>
    <w:p>
      <w:r>
        <w:t>Use Section 9 for the evidence ledger. Add a boundary or missing-input case and record the expected response before checking. More successful repeats of one case do not establish wider coverage.</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Guided and exit questions</w:t>
      </w:r>
    </w:p>
    <w:p>
      <w:r>
        <w:t>Guided: The trusted session remains student; deny teacher guide access. A claimed role cannot change authenticated authority. Qualification: Successful authentication does not grant every resource or operation. Exit: accept a concrete variation with its predicted outcome and a stated condition that would challenge the mechanism; reject a claim resting on unmeasured evidence.</w:t>
      </w:r>
    </w:p>
    <w:p>
      <w:pPr>
        <w:pStyle w:val="Heading3"/>
      </w:pPr>
      <w:r>
        <w:t>W1 Explain the mechanism</w:t>
      </w:r>
    </w:p>
    <w:p>
      <w:r>
        <w:t>Explain the weekly mechanism in your own words. Use the worked scenario to name its input, decision rule and output.</w:t>
      </w:r>
    </w:p>
    <w:p>
      <w:r>
        <w:t>Teacher explanation: Authentication identifies an actor; authorisation decides whether that actor may perform a particular operation on a particular resource. Use trusted session roles, never a role claimed inside user JSON. Student may read student resources; teacher may read both. Unauthenticated requests are denied.</w:t>
      </w:r>
    </w:p>
    <w:p>
      <w:pPr>
        <w:pStyle w:val="Heading3"/>
      </w:pPr>
      <w:r>
        <w:t>W2 Trace the worked case</w:t>
      </w:r>
    </w:p>
    <w:p>
      <w:r>
        <w:t>A student session submits role=teacher in request data and asks for a guide. Show the intermediate steps and give the conclusion with its scope.</w:t>
      </w:r>
    </w:p>
    <w:p>
      <w:r>
        <w:t>Teacher explanation: The trusted session remains student; deny teacher guide access. A claimed role cannot change authenticated authority.</w:t>
      </w:r>
    </w:p>
    <w:p>
      <w:pPr>
        <w:pStyle w:val="Heading3"/>
      </w:pPr>
      <w:r>
        <w:t>W3 Audit the limit</w:t>
      </w:r>
    </w:p>
    <w:p>
      <w:r>
        <w:t>A report omits this qualification: Successful authentication does not grant every resource or operation. Explain how omitting it could change a reader's interpretation, and write an accurate replacement.</w:t>
      </w:r>
    </w:p>
    <w:p>
      <w:r>
        <w:t>Teacher explanation: Successful authentication does not grant every resource or operation. State the observed result separately from the unverified or out-of-scope claim; preserve the original evidence rather than inventing a missing fact.</w:t>
      </w:r>
    </w:p>
    <w:p>
      <w:pPr>
        <w:pStyle w:val="Heading3"/>
      </w:pPr>
      <w:r>
        <w:t>W4 Apply a new case independently</w:t>
      </w:r>
    </w:p>
    <w:p>
      <w:r>
        <w:t>Actor roles are none, student, teacher; target is teacher guide. Decide each under the policy.</w:t>
      </w:r>
    </w:p>
    <w:p>
      <w:r>
        <w:t>Teacher explanation: Unauthenticated denied; student denied; teacher permitted. Resource access still follows the scoped policy.</w:t>
      </w:r>
    </w:p>
    <w:p>
      <w:pPr>
        <w:pStyle w:val="Heading3"/>
      </w:pPr>
      <w:r>
        <w:t>W5 Design a revealing follow-up</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r>
        <w:t>Teacher explanation: Accept a concrete variant of the worked input or a missing/conflicting/boundary condition, with an expectation derived from the declared procedure. Require preserved settings, original outputs and data roles. Successful authentication does not grant every resource or operation. The new case should test this particular mechanism rather than merely restate the original result.</w:t>
      </w:r>
    </w:p>
    <w:p>
      <w:pPr>
        <w:pStyle w:val="Heading3"/>
      </w:pPr>
      <w:r>
        <w:t>Independent assessment and fresh retry</w:t>
      </w:r>
    </w:p>
    <w:p>
      <w:r>
        <w:t>W4: Unauthenticated denied; student denied; teacher permitted. Resource access still follows the scoped policy. Require intermediate reasoning and the stated scope. Fresh retry: Target is student lesson, roles none and student. Expected reasoning: None denied; student permitted. Authentication and resource permission are separate checks. If students need support, record it and reassess with another new case rather than awarding independence to a copied answer.</w:t>
      </w:r>
    </w:p>
    <w:p>
      <w:pPr>
        <w:pStyle w:val="Heading3"/>
      </w:pPr>
      <w:r>
        <w:t>Assess independent transfer</w:t>
      </w:r>
    </w:p>
    <w:p>
      <w:r>
        <w:t>Selected case: Actor roles are none, student, teacher; target is teacher guide. Decide each under the policy.</w:t>
      </w:r>
    </w:p>
    <w:p>
      <w:pPr>
        <w:pStyle w:val="Heading3"/>
      </w:pPr>
      <w:r>
        <w:t>Selected case answer</w:t>
      </w:r>
    </w:p>
    <w:p>
      <w:r>
        <w:t>Teacher explanation: Unauthenticated denied; student denied; teacher permitted. Resource access still follows the scoped policy.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the project, support and next lesson</w:t>
      </w:r>
    </w:p>
    <w:p>
      <w:r>
        <w:t>Add a labelled authentication and authorisation evidence sheet to Grounded Learning Service. Show how you can explain the mechanism and terminology of authentication and authorisation. Use the supplied fictional case and keep its inputs, intermediate steps, calculation or prediction, and limitation. Connect this record to last week’s record; a matching answer without a trace is insufficient.</w:t>
      </w:r>
    </w:p>
    <w:p>
      <w:r>
        <w:t>Provide an input/procedure/result/limit frame and a calculator when needed. Ask students to identify the first step before completing the whole trace. Extension: compare two concrete variants of this mechanism while holding unrelated conditions fixed; report both successful and unsuccessful outcomes.</w:t>
      </w:r>
    </w:p>
    <w:p>
      <w:r>
        <w:t>Next connection: Least privilege and tool scopes. Preserve the current case record and retrieve its evidence boundary before moving on.</w:t>
      </w:r>
    </w:p>
    <w:p>
      <w:r>
        <w:t>Retain the project ledger and assess a changed case after support. Check the relevant prerequisite before carrying this component forward.</w:t>
      </w:r>
    </w:p>
    <w:p>
      <w:pPr>
        <w:pStyle w:val="Heading3"/>
      </w:pPr>
      <w:r>
        <w:t>Plan the delayed return</w:t>
      </w:r>
    </w:p>
    <w:p>
      <w:r>
        <w:t>Suggested return points in this level: ai-6/6, ai-6/8, ai-6/11.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For the Grounded Learning Service, retain an annotated trace and the changed-case result. Name the contract or evidence that makes the deciding step valid, so another team can review it.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