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ai-6/9</w:t>
      </w:r>
    </w:p>
    <w:p>
      <w:pPr>
        <w:pStyle w:val="Title"/>
      </w:pPr>
      <w:r>
        <w:t>Integration tests and fixtures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integration tests and fixtures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Integration tests exercise connected components and failure propagation. Fixtures supply controlled input records and mocked service outcomes.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integration tests and fixtures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validation, session permission, lookup and output validation together. Include absent sources and failing dependencies; verify that denied requests never invoke restricted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requests a teacher source; test response is denied, but a recorded lookup call read the teacher file. Show the intermediate steps and give the conclusion with its scope.</w:t>
      </w:r>
    </w:p>
    <w:p>
      <w:r>
        <w:t>Teacher check: Teacher explanation: The test exposes a hidden boundary failure despite the denied final response. Assert both response and call trace; deny before lookup.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Expected correction: A mock verifies declared interactions, not real provider availability or all runtime limits.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Follow request N through the fixture and adapter. Which source and item should appear in the reply, and what precisely fails when the adapter returns M?</w:t>
      </w:r>
    </w:p>
    <w:p>
      <w:pPr>
        <w:pStyle w:val="Heading3"/>
      </w:pPr>
      <w:r>
        <w:t>Reasoned teacher answer</w:t>
      </w:r>
    </w:p>
    <w:p>
      <w:r>
        <w:t>The test supplies fixed records M and N. The application must request N from its adapter. The returned item should be notebook with source N. Changed case: Fail the integration check: map is the wrong item. The request now reaches evidence for another identifier.</w:t>
      </w:r>
    </w:p>
    <w:p>
      <w:r>
        <w:t>Changed-case reasoning: Fail the integration check: map is the wrong item. The request now reaches evidence for another identifier.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mock verifies declared interactions, not real provider availability or all runtime limits.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W2 Trace the worked case</w:t>
      </w:r>
    </w:p>
    <w:p>
      <w:r>
        <w:t>A student requests a teacher source; test response is denied, but a recorded lookup call read the teacher file. Show the intermediate steps and give the conclusion with its scope.</w:t>
      </w:r>
    </w:p>
    <w:p>
      <w:r>
        <w:t>Teacher explanation: The test exposes a hidden boundary failure despite the denied final response. Assert both response and call trace; deny before lookup.</w:t>
      </w:r>
    </w:p>
    <w:p>
      <w:pPr>
        <w:pStyle w:val="Heading3"/>
      </w:pPr>
      <w:r>
        <w:t>W3 Audit the limit</w:t>
      </w:r>
    </w:p>
    <w:p>
      <w:r>
        <w:t>A report omits this qualification: A mock verifies declared interactions, not real provider availability or all runtime limits. Explain how omitting it could change a reader's interpretation, and write an accurate replacement.</w:t>
      </w:r>
    </w:p>
    <w:p>
      <w:r>
        <w:t>Teacher explanation: A mock verifies declared interactions, not real provider availability or all runtime limits. State the observed result separately from the unverified or out-of-scope claim; preserve the original evidence rather than inventing a missing fact.</w:t>
      </w:r>
    </w:p>
    <w:p>
      <w:pPr>
        <w:pStyle w:val="Heading3"/>
      </w:pPr>
      <w:r>
        <w:t>W4 Apply a new case independently</w:t>
      </w:r>
    </w:p>
    <w:p>
      <w:r>
        <w:t>Valid student lookup gets not-found from storage. Generator invents a capacity and final response appears supported. Locate failures.</w:t>
      </w:r>
    </w:p>
    <w:p>
      <w:r>
        <w:t>Teacher explanation: Not-found should route to explicit fallback, and semantic validation should reject invented capacity. Include this fixture and assert no supported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mock verifies declared interactions, not real provider availability or all runtime limits. The new case should test this particular mechanism rather than merely restate the original result.</w:t>
      </w:r>
    </w:p>
    <w:p>
      <w:pPr>
        <w:pStyle w:val="Heading3"/>
      </w:pPr>
      <w:r>
        <w:t>Independent assessment and fresh retry</w:t>
      </w:r>
    </w:p>
    <w:p>
      <w:r>
        <w:t>W4: Not-found should route to explicit fallback, and semantic validation should reject invented capacity. Include this fixture and assert no supported result. Require intermediate reasoning and the stated scope. Fresh retry: Unauthenticated request returns denied after writing an audit record containing a teacher answer. Expected reasoning: Sensitive logging itself violates the boundary; test trace/log contents as well as status. If students need support, record it and reassess with another new case rather than awarding independence to a copied answer.</w:t>
      </w:r>
    </w:p>
    <w:p>
      <w:pPr>
        <w:pStyle w:val="Heading3"/>
      </w:pPr>
      <w:r>
        <w:t>Assess independent transfer</w:t>
      </w:r>
    </w:p>
    <w:p>
      <w:r>
        <w:t>Selected case: Valid student lookup gets not-found from storage. Generator invents a capacity and final response appears supported. Locate failures.</w:t>
      </w:r>
    </w:p>
    <w:p>
      <w:pPr>
        <w:pStyle w:val="Heading3"/>
      </w:pPr>
      <w:r>
        <w:t>Selected case answer</w:t>
      </w:r>
    </w:p>
    <w:p>
      <w:r>
        <w:t>Teacher explanation: Not-found should route to explicit fallback, and semantic validation should reject invented capacity. Include this fixture and assert no supported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Evaluation pipelines.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ai-6/10, ai-6/12, ai-6/15.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