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ai-6/25</w:t>
      </w:r>
    </w:p>
    <w:p>
      <w:pPr>
        <w:pStyle w:val="Title"/>
      </w:pPr>
      <w:r>
        <w:t>Monitoring quality drift</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monitoring quality drift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Release and rollback</w:t>
      </w:r>
    </w:p>
    <w:p>
      <w:r>
        <w:t>Without opening the old lesson, explain one key idea from Release and rollback. Give an example and a mistake that the idea helps you avoid.</w:t>
      </w:r>
    </w:p>
    <w:p>
      <w:r>
        <w:t>Look for: Explain the mechanism and terminology of release and rollback</w:t>
      </w:r>
    </w:p>
    <w:p>
      <w:r>
        <w:t>Reference example, not the only acceptable wording: Teacher explanation: Release records bind code, configuration, data schema and evaluation evidence. Rollback requires compatibility with the current stored data. Version v2 writes schema2. Version v1 reads only schema1. A rollback to v1 after v2 writes data cannot safely proceed without migration or a compatible reader.</w:t>
      </w:r>
    </w:p>
    <w:p>
      <w:pPr>
        <w:pStyle w:val="Heading3"/>
      </w:pPr>
      <w:r>
        <w:t>Queues and asynchronous work</w:t>
      </w:r>
    </w:p>
    <w:p>
      <w:r>
        <w:t>Without opening the old lesson, explain one key idea from Queues and asynchronous work. Give an example and a mistake that the idea helps you avoid.</w:t>
      </w:r>
    </w:p>
    <w:p>
      <w:r>
        <w:t>Look for: Explain the mechanism and terminology of queues and asynchronous work</w:t>
      </w:r>
    </w:p>
    <w:p>
      <w:r>
        <w:t>Reference example, not the only acceptable wording: Teacher explanation: Queues separate acceptance from completion. Work may be redelivered, so consumers must preserve operation IDs and deduplicate committed effects. A queued job is pending, running, completed or failed. Acknowledge only after the declared durable completion step. A repeated completed ID returns its prior result; unknown status needs reconciliation.</w:t>
      </w:r>
    </w:p>
    <w:p>
      <w:pPr>
        <w:pStyle w:val="Heading3"/>
      </w:pPr>
      <w:r>
        <w:t>Sandboxing and resource limits</w:t>
      </w:r>
    </w:p>
    <w:p>
      <w:r>
        <w:t>Without opening the old lesson, explain one key idea from Sandboxing and resource limits. Give an example and a mistake that the idea helps you avoid.</w:t>
      </w:r>
    </w:p>
    <w:p>
      <w:r>
        <w:t>Look for: Explain the mechanism and terminology of sandboxing and resource limits</w:t>
      </w:r>
    </w:p>
    <w:p>
      <w:r>
        <w:t>Reference example, not the only acceptable wording: Teacher explanation: Sandboxing and quotas constrain what a process may access or consume. They reduce possible operations but do not verify every result. The fictional job may read its fixture directory, write its output directory, use no network and run for at most 2 seconds with at most 10 queued tasks. Reject excess work before starting it.</w:t>
      </w:r>
    </w:p>
    <w:p>
      <w:r>
        <w:t>Two 45-minute sessions. Monitoring compares current outcomes with a declared reference and sampling protocol. A change in observed quality may reflect case mix or instrumentation.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monitoring quality drift</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monitoring quality drift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Monitoring compares current outcomes with a declared reference and sampling protocol. A change in observed quality may reflect case mix or instrumentation.</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each window report eligible counts, passes, missing outcomes and condition mix. Alert when success falls below the toy80% threshold; investigate before attributing cause.</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Monitoring window</w:t>
            </w:r>
          </w:p>
        </w:tc>
        <w:tc>
          <w:tcPr>
            <w:tcW w:type="dxa" w:w="5112"/>
          </w:tcPr>
          <w:p>
            <w:r>
              <w:t>The declared interval or batch for measurement</w:t>
            </w:r>
          </w:p>
        </w:tc>
      </w:tr>
      <w:tr>
        <w:tc>
          <w:tcPr>
            <w:tcW w:type="dxa" w:w="5112"/>
          </w:tcPr>
          <w:p>
            <w:r>
              <w:t>Drift</w:t>
            </w:r>
          </w:p>
        </w:tc>
        <w:tc>
          <w:tcPr>
            <w:tcW w:type="dxa" w:w="5112"/>
          </w:tcPr>
          <w:p>
            <w:r>
              <w:t>A change in data or behaviour relative to a reference</w:t>
            </w:r>
          </w:p>
        </w:tc>
      </w:tr>
      <w:tr>
        <w:tc>
          <w:tcPr>
            <w:tcW w:type="dxa" w:w="5112"/>
          </w:tcPr>
          <w:p>
            <w:r>
              <w:t>Alert threshold</w:t>
            </w:r>
          </w:p>
        </w:tc>
        <w:tc>
          <w:tcPr>
            <w:tcW w:type="dxa" w:w="5112"/>
          </w:tcPr>
          <w:p>
            <w:r>
              <w:t>A condition triggering investigation</w:t>
            </w:r>
          </w:p>
        </w:tc>
      </w:tr>
    </w:tbl>
    <w:p>
      <w:pPr>
        <w:pStyle w:val="Heading3"/>
      </w:pPr>
      <w:r>
        <w:t>Monitoring quality drift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Reference window passes18/20; new window14/20.</w:t>
            </w:r>
          </w:p>
        </w:tc>
        <w:tc>
          <w:tcPr>
            <w:tcW w:type="dxa" w:w="3408"/>
          </w:tcPr>
          <w:p>
            <w:r>
              <w:t>For each window report eligible counts, passes, missing outcomes and condition mix. Alert when success falls below the toy80% threshold; investigate before attributing cause.</w:t>
            </w:r>
          </w:p>
        </w:tc>
        <w:tc>
          <w:tcPr>
            <w:tcW w:type="dxa" w:w="3408"/>
          </w:tcPr>
          <w:p>
            <w:r>
              <w:t>90% versus70%, drop20 percentage points; new window breaches80%. Check case mix, data versions and logs before asserting model drift as the cause.</w:t>
            </w:r>
          </w:p>
        </w:tc>
      </w:tr>
    </w:tbl>
    <w:p>
      <w:r>
        <w:t>The figure connects this chapter's worked input, declared procedure and result. Read the complete worked reasoning for qualifiers and intermediate steps; the abbreviated labels do not replace that reasoning.</w:t>
      </w:r>
    </w:p>
    <w:p>
      <w:r>
        <w:t>Guided: 90% versus70%, drop20 percentage points; new window breaches80%. Check case mix, data versions and logs before asserting model drift as the cause. Qualification: An alert identifies a condition for investigation, not a complete causal explanation.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Reference window passes18/20; new window14/20.</w:t>
      </w:r>
    </w:p>
    <w:p>
      <w:r>
        <w:t>90% versus70%, drop20 percentage points; new window breaches80%. Check case mix, data versions and logs before asserting model drift as the cause.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Monitoring quality drift</w:t>
      </w:r>
    </w:p>
    <w:p>
      <w:r>
        <w:t>Monitor separate question slices. A service uses the same rubric on clear and ambiguous questions in two recorded weeks.</w:t>
      </w:r>
    </w:p>
    <w:p>
      <w:pPr>
        <w:pStyle w:val="Heading3"/>
      </w:pPr>
      <w:r>
        <w:t>The facts we will use</w:t>
      </w:r>
    </w:p>
    <w:p>
      <w:r>
        <w:t>A: clear 18/20, ambiguous 8/10. B: clear 19/20, ambiguous 4/10.</w:t>
      </w:r>
    </w:p>
    <w:p>
      <w:r>
        <w:drawing>
          <wp:inline xmlns:a="http://schemas.openxmlformats.org/drawingml/2006/main" xmlns:pic="http://schemas.openxmlformats.org/drawingml/2006/picture">
            <wp:extent cx="5486400" cy="3077029"/>
            <wp:docPr id="1" name="Picture 1" descr="Quality slices: retain denominators"/>
            <wp:cNvGraphicFramePr>
              <a:graphicFrameLocks noChangeAspect="1"/>
            </wp:cNvGraphicFramePr>
            <a:graphic>
              <a:graphicData uri="http://schemas.openxmlformats.org/drawingml/2006/picture">
                <pic:pic>
                  <pic:nvPicPr>
                    <pic:cNvPr id="0" name="academy-detail-ai-6-25.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45314"/>
            <wp:docPr id="2" name="Picture 2" descr="Monitoring quality drift. Compute slice rates: Clear rises 90%→95%; ambiguous falls 80%→40%.. Compute totals: A is 26/30; B is 23/30 correct.. Investigate ambiguity: Inspect that slice’s failures before selecting a repair."/>
            <wp:cNvGraphicFramePr>
              <a:graphicFrameLocks noChangeAspect="1"/>
            </wp:cNvGraphicFramePr>
            <a:graphic>
              <a:graphicData uri="http://schemas.openxmlformats.org/drawingml/2006/picture">
                <pic:pic>
                  <pic:nvPicPr>
                    <pic:cNvPr id="0" name="academy-visual-ai-6-25.png"/>
                    <pic:cNvPicPr/>
                  </pic:nvPicPr>
                  <pic:blipFill>
                    <a:blip r:embed="rId10"/>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rates</w:t>
            </w:r>
          </w:p>
        </w:tc>
        <w:tc>
          <w:tcPr>
            <w:tcW w:type="dxa" w:w="5112"/>
          </w:tcPr>
          <w:p>
            <w:r>
              <w:t>Clear rises 90%→95%; ambiguous falls 80%→40%.</w:t>
            </w:r>
          </w:p>
        </w:tc>
      </w:tr>
      <w:tr>
        <w:tc>
          <w:tcPr>
            <w:tcW w:type="dxa" w:w="5112"/>
          </w:tcPr>
          <w:p>
            <w:r>
              <w:t>2. Compute totals</w:t>
            </w:r>
          </w:p>
        </w:tc>
        <w:tc>
          <w:tcPr>
            <w:tcW w:type="dxa" w:w="5112"/>
          </w:tcPr>
          <w:p>
            <w:r>
              <w:t>A is 26/30; B is 23/30 correct.</w:t>
            </w:r>
          </w:p>
        </w:tc>
      </w:tr>
      <w:tr>
        <w:tc>
          <w:tcPr>
            <w:tcW w:type="dxa" w:w="5112"/>
          </w:tcPr>
          <w:p>
            <w:r>
              <w:t>3. Investigate ambiguity</w:t>
            </w:r>
          </w:p>
        </w:tc>
        <w:tc>
          <w:tcPr>
            <w:tcW w:type="dxa" w:w="5112"/>
          </w:tcPr>
          <w:p>
            <w:r>
              <w:t>Inspect that slice’s failures before selecting a repair.</w:t>
            </w:r>
          </w:p>
        </w:tc>
      </w:tr>
    </w:tbl>
    <w:p>
      <w:r>
        <w:t>Match each pictured step to the supplied facts. This is a worked teaching case, not an independent assessment.</w:t>
      </w:r>
    </w:p>
    <w:p>
      <w:pPr>
        <w:pStyle w:val="Heading3"/>
      </w:pPr>
      <w:r>
        <w:t>Why this result follows</w:t>
      </w:r>
    </w:p>
    <w:p>
      <w:r>
        <w:t>Slice monitoring exposes changes hidden by common easy questions. Retain each denominator and compare the measurement conditions.</w:t>
      </w:r>
    </w:p>
    <w:p>
      <w:pPr>
        <w:pStyle w:val="Heading3"/>
      </w:pPr>
      <w:r>
        <w:t>What this example does not establish</w:t>
      </w:r>
    </w:p>
    <w:p>
      <w:r>
        <w:t>Small samples do not establish a stable trend or cause; retain uncertainty and compare conditions.</w:t>
      </w:r>
    </w:p>
    <w:p>
      <w:pPr>
        <w:pStyle w:val="Heading3"/>
      </w:pPr>
      <w:r>
        <w:t>Change one thing in the pictured case</w:t>
      </w:r>
    </w:p>
    <w:p>
      <w:r>
        <w:t>Change: Week B has no ambiguous questions.</w:t>
      </w:r>
    </w:p>
    <w:p>
      <w:r>
        <w:t>Prediction: That slice is unmeasured, not perfectly correct.</w:t>
      </w:r>
    </w:p>
    <w:p>
      <w:r>
        <w:t>Reason: No observations means no rate can be calculated for it.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Reference window passes18/20; new window14/20. Show the intermediate steps and give the conclusion with its scope.</w:t>
      </w:r>
    </w:p>
    <w:p>
      <w:r>
        <w:t>Teacher check: Teacher explanation: 90% versus70%, drop20 percentage points; new window breaches80%. Check case mix, data versions and logs before asserting model drift as the cause.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Monitoring quality drift. Proposed explanation: “The worked result establishes every future case”. Decide whether this explanation is supported. Point to the step or supplied fact that decides; explain your repair if needed.</w:t>
      </w:r>
    </w:p>
    <w:p>
      <w:r>
        <w:t>Expected correction: An alert identifies a condition for investigation, not a complete causal explanation.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Compute both clear and ambiguous slice rates for A and B. Which slice weakens, and how should that slice be reported when no ambiguous questions are observed?</w:t>
      </w:r>
    </w:p>
    <w:p>
      <w:pPr>
        <w:pStyle w:val="Heading3"/>
      </w:pPr>
      <w:r>
        <w:t>Reasoned teacher answer</w:t>
      </w:r>
    </w:p>
    <w:p>
      <w:r>
        <w:t>Clear rises 90%→95%; ambiguous falls 80%→40%. A is 26/30; B is 23/30 correct. Inspect that slice’s failures before selecting a repair. Changed case: That slice is unmeasured, not perfectly correct. No observations means no rate can be calculated for it.</w:t>
      </w:r>
    </w:p>
    <w:p>
      <w:r>
        <w:t>Changed-case reasoning: That slice is unmeasured, not perfectly correct. No observations means no rate can be calculated for it.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An alert identifies a condition for investigation, not a complete causal explanation.</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90% versus70%, drop20 percentage points; new window breaches80%. Check case mix, data versions and logs before asserting model drift as the cause. Qualification: An alert identifies a condition for investigation, not a complete causal explanation.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Monitoring compares current outcomes with a declared reference and sampling protocol. A change in observed quality may reflect case mix or instrumentation. For each window report eligible counts, passes, missing outcomes and condition mix. Alert when success falls below the toy80% threshold; investigate before attributing cause.</w:t>
      </w:r>
    </w:p>
    <w:p>
      <w:pPr>
        <w:pStyle w:val="Heading3"/>
      </w:pPr>
      <w:r>
        <w:t>W2 Trace the worked case</w:t>
      </w:r>
    </w:p>
    <w:p>
      <w:r>
        <w:t>Reference window passes18/20; new window14/20. Show the intermediate steps and give the conclusion with its scope.</w:t>
      </w:r>
    </w:p>
    <w:p>
      <w:r>
        <w:t>Teacher explanation: 90% versus70%, drop20 percentage points; new window breaches80%. Check case mix, data versions and logs before asserting model drift as the cause.</w:t>
      </w:r>
    </w:p>
    <w:p>
      <w:pPr>
        <w:pStyle w:val="Heading3"/>
      </w:pPr>
      <w:r>
        <w:t>W3 Audit the limit</w:t>
      </w:r>
    </w:p>
    <w:p>
      <w:r>
        <w:t>A report omits this qualification: An alert identifies a condition for investigation, not a complete causal explanation. Explain how omitting it could change a reader's interpretation, and write an accurate replacement.</w:t>
      </w:r>
    </w:p>
    <w:p>
      <w:r>
        <w:t>Teacher explanation: An alert identifies a condition for investigation, not a complete causal explanation. State the observed result separately from the unverified or out-of-scope claim; preserve the original evidence rather than inventing a missing fact.</w:t>
      </w:r>
    </w:p>
    <w:p>
      <w:pPr>
        <w:pStyle w:val="Heading3"/>
      </w:pPr>
      <w:r>
        <w:t>W4 Apply a new case independently</w:t>
      </w:r>
    </w:p>
    <w:p>
      <w:r>
        <w:t>Window A passes8/10; B passes12/20. Threshold70%. Compare.</w:t>
      </w:r>
    </w:p>
    <w:p>
      <w:r>
        <w:t>Teacher explanation: 80% versus60%; B breaches70%. Raw pass total rose but success rate fell.</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An alert identifies a condition for investigation, not a complete causal explanation. The new case should test this particular mechanism rather than merely restate the original result.</w:t>
      </w:r>
    </w:p>
    <w:p>
      <w:pPr>
        <w:pStyle w:val="Heading3"/>
      </w:pPr>
      <w:r>
        <w:t>Independent assessment and fresh retry</w:t>
      </w:r>
    </w:p>
    <w:p>
      <w:r>
        <w:t>W4: 80% versus60%; B breaches70%. Raw pass total rose but success rate fell. Require intermediate reasoning and the stated scope. Fresh retry: Window10/12 then12/12 under90% threshold. Expected reasoning: 83.333% breaches; 100% meets. These small windows do not establish a stable long-term rate. If students need support, record it and reassess with another new case rather than awarding independence to a copied answer.</w:t>
      </w:r>
    </w:p>
    <w:p>
      <w:pPr>
        <w:pStyle w:val="Heading3"/>
      </w:pPr>
      <w:r>
        <w:t>Assess independent transfer</w:t>
      </w:r>
    </w:p>
    <w:p>
      <w:r>
        <w:t>Selected case: Window A passes8/10; B passes12/20. Threshold70%. Compare.</w:t>
      </w:r>
    </w:p>
    <w:p>
      <w:pPr>
        <w:pStyle w:val="Heading3"/>
      </w:pPr>
      <w:r>
        <w:t>Selected case answer</w:t>
      </w:r>
    </w:p>
    <w:p>
      <w:r>
        <w:t>Teacher explanation: 80% versus60%; B breaches70%. Raw pass total rose but success rate fell.</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monitoring quality drift evidence sheet to Grounded Learning Service. Show how you can explain the mechanism and terminology of monitoring quality drift.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Incident investigation.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ai-6/26, ai-6/28, ai-6/31.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