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ai-6/32</w:t>
      </w:r>
    </w:p>
    <w:p>
      <w:pPr>
        <w:pStyle w:val="Title"/>
      </w:pPr>
      <w:r>
        <w:t>Documentation and operational readiness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documentation and operational readiness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Red team exercises</w:t>
      </w:r>
    </w:p>
    <w:p>
      <w:r>
        <w:t>Without opening the old lesson, explain one key idea from Red team exercises.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Performance and cost experiments</w:t>
      </w:r>
    </w:p>
    <w:p>
      <w:r>
        <w:t>Without opening the old lesson, explain one key idea from Performance and cost experiments. Give an example and a mistake that the idea helps you avoid.</w:t>
      </w:r>
    </w:p>
    <w:p>
      <w:r>
        <w:t>Look for: Explain the mechanism and terminology of performance and cost experiments</w:t>
      </w:r>
    </w:p>
    <w:p>
      <w:r>
        <w:t>Reference example, not the only acceptable wording: Teacher explanation: Performance experiments compare matched workloads with declared timing boundaries and quality constraints. Averages can hide slow cases. Use the same cases and environment; record every duration and success. For a simple median sort values and average the middle pair for even counts. Keep failed requests visible.</w:t>
      </w:r>
    </w:p>
    <w:p>
      <w:pPr>
        <w:pStyle w:val="Heading3"/>
      </w:pPr>
      <w:r>
        <w:t>Incident investigation</w:t>
      </w:r>
    </w:p>
    <w:p>
      <w:r>
        <w:t>Without opening the old lesson, explain one key idea from Incident investigation. Give an example and a mistake that the idea helps you avoid.</w:t>
      </w:r>
    </w:p>
    <w:p>
      <w:r>
        <w:t>Look for: Explain the mechanism and terminology of incident investigation</w:t>
      </w:r>
    </w:p>
    <w:p>
      <w:r>
        <w:t>Reference example, not the only acceptable wording: Teacher explanation: Incident investigation preserves a timeline and distinguishes observation from hypothesis. Repair before evidence collection can erase clues. Record timestamps, versions, requests, authorised actions and outcomes with minimised logs. Separate immediate containment from diagnosis. Compare candidate explanations against evidence.</w:t>
      </w:r>
    </w:p>
    <w:p>
      <w:r>
        <w:t>Two 45-minute sessions. Operational documentation tells another person how to run, verify, observe and recover the service. A successful developer demo is not readiness.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documentation and operational readiness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documentation and operational readiness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Operational documentation tells another person how to run, verify, observe and recover the service. A successful developer demo is not readiness.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runbook names versions, required non-secret configuration, secret key names, health checks, release/rollback dependencies, alerts and owners. Test it with a fresh operator and fictional fixtures.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Runbook</w:t>
            </w:r>
          </w:p>
        </w:tc>
        <w:tc>
          <w:tcPr>
            <w:tcW w:type="dxa" w:w="5112"/>
          </w:tcPr>
          <w:p>
            <w:r>
              <w:t>Instructions for operating and recovering a service</w:t>
            </w:r>
          </w:p>
        </w:tc>
      </w:tr>
      <w:tr>
        <w:tc>
          <w:tcPr>
            <w:tcW w:type="dxa" w:w="5112"/>
          </w:tcPr>
          <w:p>
            <w:r>
              <w:t>Health check</w:t>
            </w:r>
          </w:p>
        </w:tc>
        <w:tc>
          <w:tcPr>
            <w:tcW w:type="dxa" w:w="5112"/>
          </w:tcPr>
          <w:p>
            <w:r>
              <w:t>A defined observation of service state</w:t>
            </w:r>
          </w:p>
        </w:tc>
      </w:tr>
      <w:tr>
        <w:tc>
          <w:tcPr>
            <w:tcW w:type="dxa" w:w="5112"/>
          </w:tcPr>
          <w:p>
            <w:r>
              <w:t>Operational owner</w:t>
            </w:r>
          </w:p>
        </w:tc>
        <w:tc>
          <w:tcPr>
            <w:tcW w:type="dxa" w:w="5112"/>
          </w:tcPr>
          <w:p>
            <w:r>
              <w:t>The actor responsible for ongoing decisions</w:t>
            </w:r>
          </w:p>
        </w:tc>
      </w:tr>
    </w:tbl>
    <w:p>
      <w:pPr>
        <w:pStyle w:val="Heading3"/>
      </w:pPr>
      <w:r>
        <w:t>Documentation and operational readiness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Runbook says start server, but omits data version and recovery steps. Another operator cannot reproduce a result.</w:t>
            </w:r>
          </w:p>
        </w:tc>
        <w:tc>
          <w:tcPr>
            <w:tcW w:type="dxa" w:w="3408"/>
          </w:tcPr>
          <w:p>
            <w:r>
              <w:t>A runbook names versions, required non-secret configuration, secret key names, health checks, release/rollback dependencies, alerts and owners. Test it with a fresh operator and fictional fixtures.</w:t>
            </w:r>
          </w:p>
        </w:tc>
        <w:tc>
          <w:tcPr>
            <w:tcW w:type="dxa" w:w="3408"/>
          </w:tcPr>
          <w:p>
            <w:r>
              <w:t>Add exact configuration/version references, fixture setup, verification and recovery. Do not publish secret values to make setup easier.</w:t>
            </w:r>
          </w:p>
        </w:tc>
      </w:tr>
    </w:tbl>
    <w:p>
      <w:r>
        <w:t>The figure connects this chapter's worked input, declared procedure and result. Read the complete worked reasoning for qualifiers and intermediate steps; the abbreviated labels do not replace that reasoning.</w:t>
      </w:r>
    </w:p>
    <w:p>
      <w:r>
        <w:t>Guided: Add exact configuration/version references, fixture setup, verification and recovery. Do not publish secret values to make setup easier. Qualification: Documentation readiness requires a tested replay and operational ownership, not merely complete-looking prose.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Runbook says start server, but omits data version and recovery steps. Another operator cannot reproduce a result.</w:t>
      </w:r>
    </w:p>
    <w:p>
      <w:r>
        <w:t>Add exact configuration/version references, fixture setup, verification and recovery. Do not publish secret values to make setup easier.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Documentation and operational readiness</w:t>
      </w:r>
    </w:p>
    <w:p>
      <w:r>
        <w:t>A runbook with an owner. Another teacher must handle SOURCE_UNAVAILABLE without inventing an answer.</w:t>
      </w:r>
    </w:p>
    <w:p>
      <w:pPr>
        <w:pStyle w:val="Heading3"/>
      </w:pPr>
      <w:r>
        <w:t>The facts we will use</w:t>
      </w:r>
    </w:p>
    <w:p>
      <w:r>
        <w:t>The runbook names a maintainer and a read-only source-connection diagnostic. The code means no supported answer can be produced.</w:t>
      </w:r>
    </w:p>
    <w:p>
      <w:r>
        <w:drawing>
          <wp:inline xmlns:a="http://schemas.openxmlformats.org/drawingml/2006/main" xmlns:pic="http://schemas.openxmlformats.org/drawingml/2006/picture">
            <wp:extent cx="5486400" cy="5225143"/>
            <wp:docPr id="1" name="Picture 1" descr="Documentation and operational readiness. Match symptom: Identify the documented unavailable-source condition.. Run safe check: Inspect the approved connection without broadening permissions.. Escalate clearly: Contact the named maintainer and retain unresolved status."/>
            <wp:cNvGraphicFramePr>
              <a:graphicFrameLocks noChangeAspect="1"/>
            </wp:cNvGraphicFramePr>
            <a:graphic>
              <a:graphicData uri="http://schemas.openxmlformats.org/drawingml/2006/picture">
                <pic:pic>
                  <pic:nvPicPr>
                    <pic:cNvPr id="0" name="academy-visual-ai-6-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symptom</w:t>
            </w:r>
          </w:p>
        </w:tc>
        <w:tc>
          <w:tcPr>
            <w:tcW w:type="dxa" w:w="5112"/>
          </w:tcPr>
          <w:p>
            <w:r>
              <w:t>Identify the documented unavailable-source condition.</w:t>
            </w:r>
          </w:p>
        </w:tc>
      </w:tr>
      <w:tr>
        <w:tc>
          <w:tcPr>
            <w:tcW w:type="dxa" w:w="5112"/>
          </w:tcPr>
          <w:p>
            <w:r>
              <w:t>2. Run safe check</w:t>
            </w:r>
          </w:p>
        </w:tc>
        <w:tc>
          <w:tcPr>
            <w:tcW w:type="dxa" w:w="5112"/>
          </w:tcPr>
          <w:p>
            <w:r>
              <w:t>Inspect the approved connection without broadening permissions.</w:t>
            </w:r>
          </w:p>
        </w:tc>
      </w:tr>
      <w:tr>
        <w:tc>
          <w:tcPr>
            <w:tcW w:type="dxa" w:w="5112"/>
          </w:tcPr>
          <w:p>
            <w:r>
              <w:t>3. Escalate clearly</w:t>
            </w:r>
          </w:p>
        </w:tc>
        <w:tc>
          <w:tcPr>
            <w:tcW w:type="dxa" w:w="5112"/>
          </w:tcPr>
          <w:p>
            <w:r>
              <w:t>Contact the named maintainer and retain unresolved status.</w:t>
            </w:r>
          </w:p>
        </w:tc>
      </w:tr>
    </w:tbl>
    <w:p>
      <w:r>
        <w:t>Match each pictured step to the supplied facts. This is a worked teaching case, not an independent assessment.</w:t>
      </w:r>
    </w:p>
    <w:p>
      <w:pPr>
        <w:pStyle w:val="Heading3"/>
      </w:pPr>
      <w:r>
        <w:t>Why this result follows</w:t>
      </w:r>
    </w:p>
    <w:p>
      <w:r>
        <w:t>Operational documentation connects a symptom, bounded action, responsible person and recovery check. Component names alone do not tell an operator what to do.</w:t>
      </w:r>
    </w:p>
    <w:p>
      <w:pPr>
        <w:pStyle w:val="Heading3"/>
      </w:pPr>
      <w:r>
        <w:t>What this example does not establish</w:t>
      </w:r>
    </w:p>
    <w:p>
      <w:r>
        <w:t>Rehearse and revise runbooks; readable instructions alone cannot establish readiness for every incident.</w:t>
      </w:r>
    </w:p>
    <w:p>
      <w:pPr>
        <w:pStyle w:val="Heading3"/>
      </w:pPr>
      <w:r>
        <w:t>Change one thing in the pictured case</w:t>
      </w:r>
    </w:p>
    <w:p>
      <w:r>
        <w:t>Change: Remove the maintainer and escalation route.</w:t>
      </w:r>
    </w:p>
    <w:p>
      <w:r>
        <w:t>Prediction: The diagnostic remains, but responsibility for an unresolved fault becomes unclear.</w:t>
      </w:r>
    </w:p>
    <w:p>
      <w:r>
        <w:t>Reason: Readiness includes who acts when routine checks do not solve the problem.</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Runbook says start server, but omits data version and recovery steps. Another operator cannot reproduce a result. Show the intermediate steps and give the conclusion with its scope.</w:t>
      </w:r>
    </w:p>
    <w:p>
      <w:r>
        <w:t>Teacher check: Teacher explanation: Add exact configuration/version references, fixture setup, verification and recovery. Do not publish secret values to make setup easier.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Documentation and operational readiness. Proposed explanation: “The worked result establishes every future case”. Decide whether this explanation is supported. Point to the step or supplied fact that decides; explain your repair if needed.</w:t>
      </w:r>
    </w:p>
    <w:p>
      <w:r>
        <w:t>Expected correction: Documentation readiness requires a tested replay and operational ownership, not merely complete-looking prose.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Match SOURCE_UNAVAILABLE to its safe check and escalation owner. What is lost when the maintainer route is removed, even if the diagnostic instructions stay readable?</w:t>
      </w:r>
    </w:p>
    <w:p>
      <w:pPr>
        <w:pStyle w:val="Heading3"/>
      </w:pPr>
      <w:r>
        <w:t>Reasoned teacher answer</w:t>
      </w:r>
    </w:p>
    <w:p>
      <w:r>
        <w:t>Identify the documented unavailable-source condition. Inspect the approved connection without broadening permissions. Contact the named maintainer and retain unresolved status. Changed case: The diagnostic remains, but responsibility for an unresolved fault becomes unclear. Readiness includes who acts when routine checks do not solve the problem.</w:t>
      </w:r>
    </w:p>
    <w:p>
      <w:r>
        <w:t>Changed-case reasoning: The diagnostic remains, but responsibility for an unresolved fault becomes unclear. Readiness includes who acts when routine checks do not solve the problem.</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Documentation readiness requires a tested replay and operational ownership, not merely complete-looking prose.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Add exact configuration/version references, fixture setup, verification and recovery. Do not publish secret values to make setup easier. Qualification: Documentation readiness requires a tested replay and operational ownership, not merely complete-looking prose.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Operational documentation tells another person how to run, verify, observe and recover the service. A successful developer demo is not readiness. A runbook names versions, required non-secret configuration, secret key names, health checks, release/rollback dependencies, alerts and owners. Test it with a fresh operator and fictional fixtures.</w:t>
      </w:r>
    </w:p>
    <w:p>
      <w:pPr>
        <w:pStyle w:val="Heading3"/>
      </w:pPr>
      <w:r>
        <w:t>W2 Trace the worked case</w:t>
      </w:r>
    </w:p>
    <w:p>
      <w:r>
        <w:t>Runbook says start server, but omits data version and recovery steps. Another operator cannot reproduce a result. Show the intermediate steps and give the conclusion with its scope.</w:t>
      </w:r>
    </w:p>
    <w:p>
      <w:r>
        <w:t>Teacher explanation: Add exact configuration/version references, fixture setup, verification and recovery. Do not publish secret values to make setup easier.</w:t>
      </w:r>
    </w:p>
    <w:p>
      <w:pPr>
        <w:pStyle w:val="Heading3"/>
      </w:pPr>
      <w:r>
        <w:t>W3 Audit the limit</w:t>
      </w:r>
    </w:p>
    <w:p>
      <w:r>
        <w:t>A report omits this qualification: Documentation readiness requires a tested replay and operational ownership, not merely complete-looking prose. Explain how omitting it could change a reader's interpretation, and write an accurate replacement.</w:t>
      </w:r>
    </w:p>
    <w:p>
      <w:r>
        <w:t>Teacher explanation: Documentation readiness requires a tested replay and operational ownership, not merely complete-looking prose. State the observed result separately from the unverified or out-of-scope claim; preserve the original evidence rather than inventing a missing fact.</w:t>
      </w:r>
    </w:p>
    <w:p>
      <w:pPr>
        <w:pStyle w:val="Heading3"/>
      </w:pPr>
      <w:r>
        <w:t>W4 Apply a new case independently</w:t>
      </w:r>
    </w:p>
    <w:p>
      <w:r>
        <w:t>Documentation includes all setup steps but no incident owner or compatible rollback. Identify readiness gaps.</w:t>
      </w:r>
    </w:p>
    <w:p>
      <w:r>
        <w:t>Teacher explanation: Specify escalation owner, fallback and tested rollback dependencies. A setup-only guide does not cover operation.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Documentation readiness requires a tested replay and operational ownership, not merely complete-looking prose. The new case should test this particular mechanism rather than merely restate the original result.</w:t>
      </w:r>
    </w:p>
    <w:p>
      <w:pPr>
        <w:pStyle w:val="Heading3"/>
      </w:pPr>
      <w:r>
        <w:t>Independent assessment and fresh retry</w:t>
      </w:r>
    </w:p>
    <w:p>
      <w:r>
        <w:t>W4: Specify escalation owner, fallback and tested rollback dependencies. A setup-only guide does not cover operation. Require intermediate reasoning and the stated scope. Fresh retry: Runbook contains an old corpus ID after release. Expected reasoning: Update version-bound instructions and independently replay them; preserve earlier release documentation. If students need support, record it and reassess with another new case rather than awarding independence to a copied answer.</w:t>
      </w:r>
    </w:p>
    <w:p>
      <w:pPr>
        <w:pStyle w:val="Heading3"/>
      </w:pPr>
      <w:r>
        <w:t>Assess independent transfer</w:t>
      </w:r>
    </w:p>
    <w:p>
      <w:r>
        <w:t>Selected case: Documentation includes all setup steps but no incident owner or compatible rollback. Identify readiness gaps.</w:t>
      </w:r>
    </w:p>
    <w:p>
      <w:pPr>
        <w:pStyle w:val="Heading3"/>
      </w:pPr>
      <w:r>
        <w:t>Selected case answer</w:t>
      </w:r>
    </w:p>
    <w:p>
      <w:r>
        <w:t>Teacher explanation: Specify escalation owner, fallback and tested rollback dependencies. A setup-only guide does not cover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documentation and operational readiness evidence sheet to Grounded Learning Service. Show how you can explain the mechanism and terminology of documentation and operational readiness.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Capstone service implementation.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ai-6/33, ai-6/35.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