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ai-7/27</w:t>
      </w:r>
    </w:p>
    <w:p>
      <w:pPr>
        <w:pStyle w:val="Title"/>
      </w:pPr>
      <w:r>
        <w:t>Robustness across conditions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robustness across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r>
        <w:t>Two 45-minute sessions. Robustness checks examine a frozen procedure under declared varied conditions. Performance differences do not by themselves identify cause.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robustness across conditions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baseline, metric and eligibility aligned across conditions. Report condition counts and failures separately; new conditions may extend evidence but cannot guarantee all conditions.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 passes9/10 on current sources and5/10 on outdated sources. Show the intermediate steps and give the conclusion with its scope.</w:t>
      </w:r>
    </w:p>
    <w:p>
      <w:r>
        <w:t>Teacher check: Teacher explanation: 90% versus50%; gap40 percentage points. Freshness condition is associated with lower quality here; inspect mechanisms before general causal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r>
        <w:t>Expected correction: Robustness is bounded by the tested variations and independent evidence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indoor, outdoor and combined rates. Which relevant weakness disappears from view when only the combined rate is reported?</w:t>
      </w:r>
    </w:p>
    <w:p>
      <w:pPr>
        <w:pStyle w:val="Heading3"/>
      </w:pPr>
      <w:r>
        <w:t>Reasoned teacher answer</w:t>
      </w:r>
    </w:p>
    <w:p>
      <w:r>
        <w:t>Each condition has eight labelled cases. Indoor is 87.5%; outdoor is 37.5%. The large observed gap motivates investigation rather than claiming condition independence. Changed case: The arithmetic is correct, but the condition gap becomes hidden. Combining records discards the slice distinction relevant to the deployment goal.</w:t>
      </w:r>
    </w:p>
    <w:p>
      <w:r>
        <w:t>Changed-case reasoning: The arithmetic is correct, but the condition gap becomes hidden. Combining records discards the slice distinction relevant to the deployment goal.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Robustness is bounded by the tested variations and independent evidence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W2 Trace the worked case</w:t>
      </w:r>
    </w:p>
    <w:p>
      <w:r>
        <w:t>Method passes9/10 on current sources and5/10 on outdated sources. Show the intermediate steps and give the conclusion with its scope.</w:t>
      </w:r>
    </w:p>
    <w:p>
      <w:r>
        <w:t>Teacher explanation: 90% versus50%; gap40 percentage points. Freshness condition is associated with lower quality here; inspect mechanisms before general causal claims.</w:t>
      </w:r>
    </w:p>
    <w:p>
      <w:pPr>
        <w:pStyle w:val="Heading3"/>
      </w:pPr>
      <w:r>
        <w:t>W3 Audit the limit</w:t>
      </w:r>
    </w:p>
    <w:p>
      <w:r>
        <w:t>A report omits this qualification: Robustness is bounded by the tested variations and independent evidence policy. Explain how omitting it could change a reader's interpretation, and write an accurate replacement.</w:t>
      </w:r>
    </w:p>
    <w:p>
      <w:r>
        <w:t>Teacher explanation: Robustness is bounded by the tested variations and independent evidence policy. State the observed result separately from the unverified or out-of-scope claim; preserve the original evidence rather than inventing a missing fact.</w:t>
      </w:r>
    </w:p>
    <w:p>
      <w:pPr>
        <w:pStyle w:val="Heading3"/>
      </w:pPr>
      <w:r>
        <w:t>W4 Apply a new case independently</w:t>
      </w:r>
    </w:p>
    <w:p>
      <w:r>
        <w:t>Baseline/candidate on conditionA:6/8, 7/8; conditionB:5/8, 4/8. Compare paired rates.</w:t>
      </w:r>
    </w:p>
    <w:p>
      <w:r>
        <w:t>Teacher explanation: Candidate gains12.5 points inA but loses12.5 inB; overall11/16 for both. Aggregate equality hides condition differences.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Robustness is bounded by the tested variations and independent evidence policy. The new case should test this particular mechanism rather than merely restate the original result.</w:t>
      </w:r>
    </w:p>
    <w:p>
      <w:pPr>
        <w:pStyle w:val="Heading3"/>
      </w:pPr>
      <w:r>
        <w:t>Independent assessment and fresh retry</w:t>
      </w:r>
    </w:p>
    <w:p>
      <w:r>
        <w:t>W4: Candidate gains12.5 points inA but loses12.5 inB; overall11/16 for both. Aggregate equality hides condition differences. Require intermediate reasoning and the stated scope. Fresh retry: A baseline4/6, candidate5/6; B baseline5/6, candidate4/6. Expected reasoning: Gains/losses16.667 points; overall9/12 each. Preserve condition-specific findings. If students need support, record it and reassess with another new case rather than awarding independence to a copied answer.</w:t>
      </w:r>
    </w:p>
    <w:p>
      <w:pPr>
        <w:pStyle w:val="Heading3"/>
      </w:pPr>
      <w:r>
        <w:t>Assess independent transfer</w:t>
      </w:r>
    </w:p>
    <w:p>
      <w:r>
        <w:t>Selected case: Baseline/candidate on conditionA:6/8, 7/8; conditionB:5/8, 4/8. Compare paired rates.</w:t>
      </w:r>
    </w:p>
    <w:p>
      <w:pPr>
        <w:pStyle w:val="Heading3"/>
      </w:pPr>
      <w:r>
        <w:t>Selected case answer</w:t>
      </w:r>
    </w:p>
    <w:p>
      <w:r>
        <w:t>Teacher explanation: Candidate gains12.5 points inA but loses12.5 inB; overall11/16 for both. Aggregate equality hides condition differences.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Negative results and claim revision.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ai-7/28, ai-7/30, ai-7/33.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