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ai-1/7</w:t>
      </w:r>
    </w:p>
    <w:p>
      <w:pPr>
        <w:pStyle w:val="Title"/>
      </w:pPr>
      <w:r>
        <w:t>Categories and Labels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Sound Becomes a Signal</w:t>
      </w:r>
    </w:p>
    <w:p>
      <w:r>
        <w:t>Without opening the old lesson, explain one key idea from Sound Becomes a Signal.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Rules or Learned Patterns?</w:t>
      </w:r>
    </w:p>
    <w:p>
      <w:r>
        <w:t>Without opening the old lesson, explain one key idea from Rules or Learned Patterns?.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AI or Not?</w:t>
      </w:r>
    </w:p>
    <w:p>
      <w:r>
        <w:t>Without opening the old lesson, explain one key idea from AI or Not?.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Replace a vague instruction for Categories and operational labels.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Categories and operational labels. Proposed explanation: “A blank is the same as a failing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Your dataset labels 'reusable containers'. One team includes a disposable bottle reused once; another excludes it. Give an operational label rule and classify this boundary case under that rule. Explain why a different rule could be defensible.</w:t>
      </w:r>
    </w:p>
    <w:p>
      <w:pPr>
        <w:pStyle w:val="Heading1"/>
      </w:pPr>
      <w:r>
        <w:t>06. Solve the given case</w:t>
      </w:r>
    </w:p>
    <w:p>
      <w:r>
        <w:t>Six cards show two circles, two triangles and two squares. Sort by shape.</w:t>
      </w:r>
    </w:p>
    <w:p>
      <w:r>
        <w:t>Why can red and blue circles share a label?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The rule is: fruit has seeds; other objects go in other. Sort an apple, a pencil and a sealed mystery box. Which item needs more evidence, and why?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Define the Classroom Sorter's bin labels and write how to handle objects that reasonably fit more than one bin.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Your dataset labels 'reusable containers'. One team includes a disposable bottle reused once; another excludes it. Give an operational label rule and classify this boundary case under that rule. Explain why a different rule could be defensible.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Apply the calendar guide</w:t>
      </w:r>
    </w:p>
    <w:p>
      <w:r>
        <w:t>The calendar policy accepts whole-number days 1 through 30 inclusive and a room code A or B. Check known failures first, then unknown fields, then readiness. Label these cards and give evidence: day 30 room B; day 31 room A; day 14 room unreadable; day 31 room unreadable.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Replace a vague instruction</w:t>
      </w:r>
    </w:p>
    <w:p>
      <w:r>
        <w:t>A helper says Label a card ready if it looks nice. Explain why this can lead to inconsistent labels. Replace it with an instruction that another person can apply using the calendar policy, including what to do about a blank field.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Count and investigate disagreement</w:t>
      </w:r>
    </w:p>
    <w:p>
      <w:r>
        <w:t>For the same four cards, Mina records ready, revise, review, ready. Theo records ready, review, review, revise. How many positions agree? Identify the disagreements. Can you decide which annotator is correct from these label lists alone? Explain what else you need.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a policy change visible</w:t>
      </w:r>
    </w:p>
    <w:p>
      <w:r>
        <w:t>Version 1 accepts calendar days 1 through 30. Version 2 accepts days 1 through 31. A card says day 31 room A. State its label under each version. Explain why mixing the two labels without recording the version could create a misleading training dataset.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Categories and Labels</w:t>
      </w:r>
    </w:p>
    <w:p>
      <w:r>
        <w:t>A fictional craft club labels cardboard-order cards ready, review or revise.</w:t>
      </w:r>
    </w:p>
    <w:p>
      <w:r>
        <w:t>Allowed quantity: whole number 1–4. Required colour: red or blue.</w:t>
      </w:r>
    </w:p>
    <w:p>
      <w:r>
        <w:t>If any known field fails, revise; otherwise if a required field is blank, review; otherwise ready. Cards A=(4,red), B=(5,blank), C=(2,blank).</w:t>
      </w:r>
    </w:p>
    <w:p>
      <w:r>
        <w:drawing>
          <wp:inline xmlns:a="http://schemas.openxmlformats.org/drawingml/2006/main" xmlns:pic="http://schemas.openxmlformats.org/drawingml/2006/picture">
            <wp:extent cx="5381271" cy="5943599"/>
            <wp:docPr id="1" name="Picture 1" descr="Categories and Labels. Read policy: Check known invalid fields before checking missing ones.. Card A: 4 is allowed and red is allowed: ready.. Card B: 5 is outside 1–4: revise, even though colour is missing.. Card C: 2 is valid but colour is blank: review."/>
            <wp:cNvGraphicFramePr>
              <a:graphicFrameLocks noChangeAspect="1"/>
            </wp:cNvGraphicFramePr>
            <a:graphic>
              <a:graphicData uri="http://schemas.openxmlformats.org/drawingml/2006/picture">
                <pic:pic>
                  <pic:nvPicPr>
                    <pic:cNvPr id="0" name="academy-visual-ai-1-7.png"/>
                    <pic:cNvPicPr/>
                  </pic:nvPicPr>
                  <pic:blipFill>
                    <a:blip r:embed="rId9"/>
                    <a:stretch>
                      <a:fillRect/>
                    </a:stretch>
                  </pic:blipFill>
                  <pic:spPr>
                    <a:xfrm>
                      <a:off x="0" y="0"/>
                      <a:ext cx="5381271" cy="5943599"/>
                    </a:xfrm>
                    <a:prstGeom prst="rect"/>
                  </pic:spPr>
                </pic:pic>
              </a:graphicData>
            </a:graphic>
          </wp:inline>
        </w:drawing>
      </w:r>
    </w:p>
    <w:p>
      <w:r>
        <w:t>Explain why B originally was revise rather than review, then label its changed version.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Write a sorter label guide with examples of complete, invalid and unresolved inputs before comparing labels.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