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ai-1/28</w:t>
      </w:r>
    </w:p>
    <w:p>
      <w:pPr>
        <w:pStyle w:val="Title"/>
      </w:pPr>
      <w:r>
        <w:t>Humans Set Boundaries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Verify Important Outputs</w:t>
      </w:r>
    </w:p>
    <w:p>
      <w:r>
        <w:t>Without opening the old lesson, explain one key idea from Verify Important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Generate, Retrieve, or Calculate?</w:t>
      </w:r>
    </w:p>
    <w:p>
      <w:r>
        <w:t>Without opening the old lesson, explain one key idea from Generate, Retrieve, or Calculate?.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Missing and Unbalanced Examples</w:t>
      </w:r>
    </w:p>
    <w:p>
      <w:r>
        <w:t>Without opening the old lesson, explain one key idea from Missing and Unbalanced Examples.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Read an approval without enlarging it for Human authority and permission.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Human authority and permission. Proposed explanation: “A working button grants permission”.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permission check to a new case</w:t>
      </w:r>
    </w:p>
    <w:p>
      <w:r>
        <w:t>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classroom assistant may draft a reminder but cannot send messages. It displays a completed draft and waits. A student writes 'looks good' without a destination. Has a clear send authorisation been given? Specify what is needed.</w:t>
      </w:r>
    </w:p>
    <w:p>
      <w:pPr>
        <w:pStyle w:val="Heading1"/>
      </w:pPr>
      <w:r>
        <w:t>06. Solve the given case</w:t>
      </w:r>
    </w:p>
    <w:p>
      <w:r>
        <w:t>An assistant may suggest object locations; a teacher must approve moving valuable equipment.</w:t>
      </w:r>
    </w:p>
    <w:p>
      <w:r>
        <w:t>What may happen without approval?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sorter marks a child's notebook throw away. Who should decide whether it is discarded? Name a boundary the system should enforce.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Complete the sorter's human-control map: permissions, review triggers, override, correction, and stop conditions.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classroom assistant may draft a reminder but cannot send messages. It displays a completed draft and waits. A student writes 'looks good' without a destination. Has a clear send authorisation been given? Specify what is needed.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three kinds of evidence</w:t>
      </w:r>
    </w:p>
    <w:p>
      <w:r>
        <w:t>A tool offers a Public website button. The exhibition facts in A have been verified. The teacher’s approval covers the classroom board only. State what the button, the fact check and the approval each establish. Decide whether the editor may publish A publicly.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Read an approval without enlarging it</w:t>
      </w:r>
    </w:p>
    <w:p>
      <w:r>
        <w:t>List the decision maker, allowed actor, version, destination, timing and number of postings in the original exhibition approval. Before any posting and with no changes to the facts or permission, explain whether the editor can carry out that exact action without asking again.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Prepare a reviewable change</w:t>
      </w:r>
    </w:p>
    <w:p>
      <w:r>
        <w:t>The room changes to Room 8 and the editor creates B. Explain why publishing old A and publishing unapproved B each fail a different check. Write a specific request for the teacher to review B, keeping the original destination and one-posting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permission check to a new case</w:t>
      </w:r>
    </w:p>
    <w:p>
      <w:r>
        <w:t>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Avoid an accidental second action</w:t>
      </w:r>
    </w:p>
    <w:p>
      <w:r>
        <w:t>Jo attempts the permitted internal replacement, but the tool’s response does not show whether it succeeded. Explain why immediately repeating it is a poor choice under a once-only approval. What should Jo check? If Jo discovers a public change occurred instead, describe the first recovery steps.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Humans Set Boundaries</w:t>
      </w:r>
    </w:p>
    <w:p>
      <w:r>
        <w:t>A fictional teacher approves one checked classroom poster for internal display.</w:t>
      </w:r>
    </w:p>
    <w:p>
      <w:r>
        <w:t>Approval: publish exactly poster P2 on the classroom noticeboard today, once.</w:t>
      </w:r>
    </w:p>
    <w:p>
      <w:r>
        <w:t>Assistant proposes P2 there; P3 there after an edit; P2 on a public website.</w:t>
      </w:r>
    </w:p>
    <w:p>
      <w:r>
        <w:drawing>
          <wp:inline xmlns:a="http://schemas.openxmlformats.org/drawingml/2006/main" xmlns:pic="http://schemas.openxmlformats.org/drawingml/2006/picture">
            <wp:extent cx="5276995" cy="5943599"/>
            <wp:docPr id="1" name="Picture 1"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9"/>
                    <a:stretch>
                      <a:fillRect/>
                    </a:stretch>
                  </pic:blipFill>
                  <pic:spPr>
                    <a:xfrm>
                      <a:off x="0" y="0"/>
                      <a:ext cx="5276995" cy="5943599"/>
                    </a:xfrm>
                    <a:prstGeom prst="rect"/>
                  </pic:spPr>
                </pic:pic>
              </a:graphicData>
            </a:graphic>
          </wp:inline>
        </w:drawing>
      </w:r>
    </w:p>
    <w:p>
      <w:r>
        <w:t>Which original proposal is authorised? Why do the other two need separate approval?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Record sorter actions allowed automatically and actions requiring the classroom owner’s explicit review.</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