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Hallucination Failure Types</w:t>
      </w:r>
    </w:p>
    <w:p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Conflicting and time-sensitive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Conflicting and time-sensitive sources.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1"/>
      </w:pPr>
      <w:r>
        <w:t>06. Solve the given case</w:t>
      </w:r>
    </w:p>
    <w:p>
      <w:r>
        <w:t>An original experiment report and an anonymous unlinked summary describe a method.</w:t>
      </w:r>
    </w:p>
    <w:p>
      <w:r>
        <w:t>Where should verification begin?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a school's current opening time, compare an undated repost with a dated notice issued by the school. Which is the stronger starting source, and what must still be checked?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an approved source list and record why each source fits the learner’s question.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Notice N says room A from Monday. Signed amendment M references N and changes to B effective Wednesday. Query asks Tuesday, then Thursday.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An unspecified authority or effective-time rule leaves a conflict unresolved; do not invent precedence.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Source Quality</w:t>
      </w:r>
    </w:p>
    <w:p>
      <w:r>
        <w:t>A fictional Study Buddy answers which room a club is authorised to use.</w:t>
      </w:r>
    </w:p>
    <w:p>
      <w:r>
        <w:t>Signed notice A: Hall 1 from day 1. Signed amendment B references A and changes to Hall 3 effective day 8.</w:t>
      </w:r>
    </w:p>
    <w:p>
      <w: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source fields must be checked before answering day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Store Study Buddy source identity, version, authority and effective date, especially for schedules or changing classroom rules.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