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answer earns 2 for format, 2 for tone and 0 for source support. It gets 4/6. Is it acceptable for a source-only assistant? Revise the rubric's decision rule.</w:t>
      </w:r>
    </w:p>
    <w:p>
      <w:pPr>
        <w:pStyle w:val="Heading1"/>
      </w:pPr>
      <w:r>
        <w:t>06. Solve the given case</w:t>
      </w:r>
    </w:p>
    <w:p>
      <w:r>
        <w:t>Rubric gives 0–2 each for support, usefulness and safety. Response is useful and safe but unsupported.</w:t>
      </w:r>
    </w:p>
    <w:p>
      <w:r>
        <w:t>Why can a total mislead?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answers have equally polished language. One has three supported claims; the other has two supported claims and one invented claim. How should a quality rubric distinguish them?</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five-dimension rubric and block release when correctness or safety is below threshold.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answer earns 2 for format, 2 for tone and 0 for source support. It gets 4/6. Is it acceptable for a source-only assistant? Revise the rubric's decision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Ten cases include six answerable and four missing-evidence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Evaluation coverage limits the claim; prompts tuned on these cases need new reserved final cases.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Quality Rubrics</w:t>
      </w:r>
    </w:p>
    <w:p>
      <w:r>
        <w:t>Use a quality rubric whose safety gate cannot be traded for attractive formatting.</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r>
        <w:t>Why is “one out of two checks passed” an insufficient release decision?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