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ai-3/28</w:t>
      </w:r>
    </w:p>
    <w:p>
      <w:pPr>
        <w:pStyle w:val="Title"/>
      </w:pPr>
      <w:r>
        <w:t>Privacy by Design</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Red Team the Product</w:t>
      </w:r>
    </w:p>
    <w:p>
      <w:r>
        <w:t>Without opening the old lesson, explain one key idea from Red Team the Product.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Quality Rubrics</w:t>
      </w:r>
    </w:p>
    <w:p>
      <w:r>
        <w:t>Without opening the old lesson, explain one key idea from Quality Rubrics.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Requests Responses and JSON</w:t>
      </w:r>
    </w:p>
    <w:p>
      <w:r>
        <w:t>Without opening the old lesson, explain one key idea from Requests Responses and JSON.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Data retention and deletion.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Data retention and deletion.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Retention is5 days, inclusive deletion boundary. Ages4, 5, 6; a log stores complete content. Trace required action.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study tool needs topic and reading level but proposes storing addresses and all conversations forever. Design a smaller record and a deletion rule.</w:t>
      </w:r>
    </w:p>
    <w:p>
      <w:pPr>
        <w:pStyle w:val="Heading1"/>
      </w:pPr>
      <w:r>
        <w:t>06. Solve the given case</w:t>
      </w:r>
    </w:p>
    <w:p>
      <w:r>
        <w:t>A study tool plans to retain names, addresses and all chats forever.</w:t>
      </w:r>
    </w:p>
    <w:p>
      <w:r>
        <w:t>Design a smaller data plan.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practice quiz needs a topic and difficulty. A form also asks for home address and date of birth. What should be removed and why?</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Create a minimal data map and visible memory controls before expanding features.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study tool needs topic and reading level but proposes storing addresses and all conversations forever. Design a smaller record and a deletion rule.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Record ages are6, 7, 9 days. Cache contains copies of all three.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This fictional retention exercise is not a statement of legal retention requirements.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Retention is5 days, inclusive deletion boundary. Ages4, 5, 6; a log stores complete content. Trace required action.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Privacy by Design</w:t>
      </w:r>
    </w:p>
    <w:p>
      <w:r>
        <w:t>Trace deletion through both a working folder and a cache.</w:t>
      </w:r>
    </w:p>
    <w:p>
      <w:r>
        <w:t>Fictional retention policy: delete records aged at least 3 days. Ages A=2, B=3, C=4; the cache contains a copy of B.</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Privacy by Design. Compare ages: A is below 3; B is exactly 3; C is above 3.. Delete eligible: Keep A. Delete B and C from the working folder.. Check copies: Delete cached B too; otherwise the declared content remains retained."/>
            <wp:cNvGraphicFramePr>
              <a:graphicFrameLocks noChangeAspect="1"/>
            </wp:cNvGraphicFramePr>
            <a:graphic>
              <a:graphicData uri="http://schemas.openxmlformats.org/drawingml/2006/picture">
                <pic:pic>
                  <pic:nvPicPr>
                    <pic:cNvPr id="0" name="academy-visual-ai-3-28.png"/>
                    <pic:cNvPicPr/>
                  </pic:nvPicPr>
                  <pic:blipFill>
                    <a:blip r:embed="rId9"/>
                    <a:stretch>
                      <a:fillRect/>
                    </a:stretch>
                  </pic:blipFill>
                  <pic:spPr>
                    <a:xfrm>
                      <a:off x="0" y="0"/>
                      <a:ext cx="5486400" cy="5185229"/>
                    </a:xfrm>
                    <a:prstGeom prst="rect"/>
                  </pic:spPr>
                </pic:pic>
              </a:graphicData>
            </a:graphic>
          </wp:inline>
        </w:drawing>
      </w:r>
    </w:p>
    <w:p>
      <w:r>
        <w:t>Which IDs and locations must appear in the deletion evidence?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