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ai-3/31</w:t>
      </w:r>
    </w:p>
    <w:p>
      <w:pPr>
        <w:pStyle w:val="Title"/>
      </w:pPr>
      <w:r>
        <w:t>Safety Boundaries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Bias and Representation</w:t>
      </w:r>
    </w:p>
    <w:p>
      <w:r>
        <w:t>Without opening the old lesson, explain one key idea from Bias and Representation.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Design</w:t>
      </w:r>
    </w:p>
    <w:p>
      <w:r>
        <w:t>Without opening the old lesson, explain one key idea from Privacy by Design.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Quality Rubrics</w:t>
      </w:r>
    </w:p>
    <w:p>
      <w:r>
        <w:t>Without opening the old lesson, explain one key idea from Quality Rubrics.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Untrusted input boundaries.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Untrusted input boundaries.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Classify B2, b2, B22 and B2; DROP under the exact format.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plant-study assistant is asked for a person's medication dose. Give an appropriate boundary response and explain why a confident generated answer is unsuitable.</w:t>
      </w:r>
    </w:p>
    <w:p>
      <w:pPr>
        <w:pStyle w:val="Heading1"/>
      </w:pPr>
      <w:r>
        <w:t>06. Solve the given case</w:t>
      </w:r>
    </w:p>
    <w:p>
      <w:r>
        <w:t>A Study Buddy is asked to decide whether a learner should take medicine.</w:t>
      </w:r>
    </w:p>
    <w:p>
      <w:r>
        <w:t>Set a product boundary.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study tool is asked to make a high-stakes personal decision outside its learning purpose. What boundary should the response show?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Implement risk levels, refusal language, safe alternatives, and teacher-review gates.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plant-study assistant is asked for a person's medication dose. Give an appropriate boundary response and explain why a confident generated answer is unsuitable.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Inputs A1 and delete_all() are supplied to room lookup.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format check does not grant resource access; authorisation follows separately.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Classify B2, b2, B22 and B2; DROP under the exact format.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Abstention and clarification —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Abstention and clarification — W2 Trace the worked case</w:t>
      </w:r>
    </w:p>
    <w:p>
      <w:r>
        <w:t>Approval names room B, but two registers give capacities 8 and 12 with no precedence rule. The question asks maximum attendance.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Abstention and clarification — W3 Audit the limit</w:t>
      </w:r>
    </w:p>
    <w:p>
      <w:r>
        <w:t>A report omits this qualification: An abstention avoids an unsupported answer but does not automatically make a system useful; evaluate appropriate answers and appropriate fallbacks separately.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Abstention and clarification — W4 Apply a new case independently</w:t>
      </w:r>
    </w:p>
    <w:p>
      <w:r>
        <w:t>The request says use the hall, but approved rooms include H1 and H2 with different capacities. No hall ID is given. What question should be asked?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Abstention and clarification —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Safety Boundaries</w:t>
      </w:r>
    </w:p>
    <w:p>
      <w:r>
        <w:t>Make a strict lookup identifier boundary visible.</w:t>
      </w:r>
    </w:p>
    <w:p>
      <w:r>
        <w:t>Toy lookup accepts exactly two uppercase ASCII letters followed by one digit. Accepted example: AB7. No trimming or extra characters are allowed.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1" name="Picture 1" descr="Safety Boundaries. Check pattern: AB7 has two permitted letters and one digit, with no extra characters.. Reject extra text: AB7; send() violates the exact identifier pattern.. Separate authority: Pattern acceptance only allows the next lookup check; it grants no access to restricted record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3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If AB7 passes the pattern, may it access teacher-only material?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