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ai-4/31</w:t>
      </w:r>
    </w:p>
    <w:p>
      <w:pPr>
        <w:pStyle w:val="Title"/>
      </w:pPr>
      <w:r>
        <w:t>Subgroup Performance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Improve Generalization</w:t>
      </w:r>
    </w:p>
    <w:p>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Curves</w:t>
      </w:r>
    </w:p>
    <w:p>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sensitivity for Subgroup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Subgroup evaluation.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Device A gets 18/20 correct; B gets 6/10. Compute overall accuracy and the subgroup gap. What causal claim is not supported?</w:t>
      </w:r>
    </w:p>
    <w:p>
      <w:pPr>
        <w:pStyle w:val="Heading1"/>
      </w:pPr>
      <w:r>
        <w:t>06. Solve the given case</w:t>
      </w:r>
    </w:p>
    <w:p>
      <w:r>
        <w:t>A has18/20 correct; B has6/10.</w:t>
      </w:r>
    </w:p>
    <w:p>
      <w:r>
        <w:t>Compute subgroup results and evidence limits.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Accuracy is 18/20 in bright light and 6/10 in dim light. Compute both rates and the percentage-point gap.</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subgroup tables and a minimum acceptable threshold to the Plant Classifier release criteria.</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Device A gets 18/20 correct; B gets 6/10. Compute overall accuracy and the subgroup gap. What causal claim is not supported?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group rates</w:t>
      </w:r>
    </w:p>
    <w:p>
      <w:r>
        <w:t>Calculate the worked group and pooled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sensitivity</w:t>
      </w:r>
    </w:p>
    <w:p>
      <w:r>
        <w:t>How does correcting one B error affect its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Report missing coverage</w:t>
      </w:r>
    </w:p>
    <w:p>
      <w:r>
        <w:t>Group C has no evaluated cases. What is its measured error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Groups X 1 error/10 and Y 2/4: calculate separate and pooled rates, then state one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 fairness shortcut</w:t>
      </w:r>
    </w:p>
    <w:p>
      <w:r>
        <w:t>Why does equal accuracy not settle whether use is fair?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Subgroup Performance</w:t>
      </w:r>
    </w:p>
    <w:p>
      <w:r>
        <w:t>Calculate subgroup and pooled error rates without letting the larger group hide a gap.</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r>
        <w:t>Why should the report retain subgroup rates alongside the total?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