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ai-5/23</w:t>
      </w:r>
    </w:p>
    <w:p>
      <w:pPr>
        <w:pStyle w:val="Title"/>
      </w:pPr>
      <w:r>
        <w:t>Training a small image model</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Pooling and spatial information</w:t>
      </w:r>
    </w:p>
    <w:p>
      <w:r>
        <w:t>Without opening the old lesson, explain one key idea from Pooling and spatial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Image tensors and channels</w:t>
      </w:r>
    </w:p>
    <w:p>
      <w:r>
        <w:t>Without opening the old lesson, explain one key idea from Image tensors and channels.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Initialisation and reproducibility</w:t>
      </w:r>
    </w:p>
    <w:p>
      <w:r>
        <w:t>Without opening the old lesson, explain one key idea from Initialisation and reproducibility.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both updates for Training a small image model.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Training a small image model. Proposed explanation: “All parameters in a trained model must have been learned”.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Choose a checkpoint independently</w:t>
      </w:r>
    </w:p>
    <w:p>
      <w:r>
        <w:t>A separate model scores bd. Its training examples have d = 1 and -1 with signed targets 1 and -1. Start b = 0; gradient is 2(b - 1), rate 0.25 and budget two updates. Validation differences are 2 and -2 with targets 1 and -1. Calculate all three weights and their validation MSEs, then select by lowest validation MSE.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features and a prediction</w:t>
      </w:r>
    </w:p>
    <w:p>
      <w:r>
        <w:t>For Train B, compute d, h1, h2 and the score at a = 0.45. Give the class prediction and squared error against its signed target.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Check both updates</w:t>
      </w:r>
    </w:p>
    <w:p>
      <w:r>
        <w:t>Starting at a = 0, use gradient 5a - 3 and rate 0.1 for two updates. Give each gradient, new weight and training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Apply the selection rule</w:t>
      </w:r>
    </w:p>
    <w:p>
      <w:r>
        <w:t>Select among the three saved lesson checkpoints using validation MSE, with earliest update breaking a tie. Is selecting by training accuracy the same declared procedure?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Choose a checkpoint independently</w:t>
      </w:r>
    </w:p>
    <w:p>
      <w:r>
        <w:t>A separate model scores bd. Its training examples have d = 1 and -1 with signed targets 1 and -1. Start b = 0; gradient is 2(b - 1), rate 0.25 and budget two updates. Validation differences are 2 and -2 with targets 1 and -1. Calculate all three weights and their validation MSEs, then select by lowest validation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Audit a final evaluation</w:t>
      </w:r>
    </w:p>
    <w:p>
      <w:r>
        <w:t>After inspecting the final cases, a team changes the decision threshold and reports the best result as an unseen test score. Explain the problem and list two things the original report should preserve.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training a small image model evidence sheet to Image-pattern Network Investigation. Show how you can trace a complete image model with fixed features and one trained weight.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Training a small image model</w:t>
      </w:r>
    </w:p>
    <w:p>
      <w:r>
        <w:t>Train one tiny image score with a fixed budget and a separately reserved check.</w:t>
      </w:r>
    </w:p>
    <w:p>
      <w:r>
        <w:t>Toy brightness difference d=left−right; score=a×d. Training pair d=2, target 2; start a=0; squared loss; learning rate 1/16; two updates.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raining a small image model. First update: Gradient2(2a-2)×2=-8; new a =  = 0.5, training loss 1.. Second update: Gradient at 0.5 is-4; new a =  = 0.75, training loss 0.25.. Validation score: At reserved d1, target 1: prediction 0.75, squared error0.0625."/>
            <wp:cNvGraphicFramePr>
              <a:graphicFrameLocks noChangeAspect="1"/>
            </wp:cNvGraphicFramePr>
            <a:graphic>
              <a:graphicData uri="http://schemas.openxmlformats.org/drawingml/2006/picture">
                <pic:pic>
                  <pic:nvPicPr>
                    <pic:cNvPr id="0" name="academy-visual-ai-5-23.png"/>
                    <pic:cNvPicPr/>
                  </pic:nvPicPr>
                  <pic:blipFill>
                    <a:blip r:embed="rId9"/>
                    <a:stretch>
                      <a:fillRect/>
                    </a:stretch>
                  </pic:blipFill>
                  <pic:spPr>
                    <a:xfrm>
                      <a:off x="0" y="0"/>
                      <a:ext cx="5486400" cy="5185229"/>
                    </a:xfrm>
                    <a:prstGeom prst="rect"/>
                  </pic:spPr>
                </pic:pic>
              </a:graphicData>
            </a:graphic>
          </wp:inline>
        </w:drawing>
      </w:r>
    </w:p>
    <w:p>
      <w:r>
        <w:t>Does lower training loss alone establish that four updates generalise better?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