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AI ACADEMY · WORKBOOK · ai-6/1</w:t>
      </w:r>
    </w:p>
    <w:p>
      <w:pPr>
        <w:pStyle w:val="Title"/>
      </w:pPr>
      <w:r>
        <w:t>Requirements and service boundaries</w:t>
      </w:r>
    </w:p>
    <w:p>
      <w:r>
        <w:t>Project: Grounded Learning Service</w:t>
      </w:r>
    </w:p>
    <w:p>
      <w:pPr>
        <w:pStyle w:val="Heading1"/>
      </w:pPr>
      <w:r>
        <w:t>01. Recall and choose your starting point</w:t>
      </w:r>
    </w:p>
    <w:p>
      <w:r>
        <w:t>Try the recall before opening notes. Then use a different colour or a labelled second line to correct your explanation.</w:t>
      </w:r>
    </w:p>
    <w:p>
      <w:pPr>
        <w:pStyle w:val="Heading3"/>
      </w:pPr>
      <w:r>
        <w:t>Neural network experiment defense</w:t>
      </w:r>
    </w:p>
    <w:p>
      <w:r>
        <w:t>Without opening the old lesson, explain one key idea from Neural network experiment defense. Give an example and a mistake that the idea helps you avoid.</w:t>
      </w:r>
    </w:p>
    <w:p>
      <w:pPr>
        <w:pStyle w:val="Heading3"/>
      </w:pPr>
      <w:r>
        <w:t>My remembered idea, example and correction</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02. Practise with fading help</w:t>
      </w:r>
    </w:p>
    <w:p>
      <w:r>
        <w:t>Use W2: Trace the worked case for Requirements and service boundaries. Record the answer once; the lesson and workbook refer to the same attempt.</w:t>
      </w:r>
    </w:p>
    <w:tbl>
      <w:tblPr>
        <w:tblStyle w:val="LightShading-Accent1"/>
        <w:tblW w:type="auto" w:w="0"/>
        <w:tblLook w:firstColumn="1" w:firstRow="1" w:lastColumn="0" w:lastRow="0" w:noHBand="0" w:noVBand="1" w:val="04A0"/>
      </w:tblPr>
      <w:tblGrid>
        <w:gridCol w:w="2556"/>
        <w:gridCol w:w="2556"/>
        <w:gridCol w:w="2556"/>
        <w:gridCol w:w="2556"/>
      </w:tblGrid>
      <w:tr>
        <w:trPr>
          <w:tblHeader/>
        </w:trPr>
        <w:tc>
          <w:tcPr>
            <w:tcW w:type="dxa" w:w="2556"/>
          </w:tcPr>
          <w:p>
            <w:r>
              <w:t>Given inputs</w:t>
            </w:r>
          </w:p>
        </w:tc>
        <w:tc>
          <w:tcPr>
            <w:tcW w:type="dxa" w:w="2556"/>
          </w:tcPr>
          <w:p>
            <w:r>
              <w:t>Procedure I chose</w:t>
            </w:r>
          </w:p>
        </w:tc>
        <w:tc>
          <w:tcPr>
            <w:tcW w:type="dxa" w:w="2556"/>
          </w:tcPr>
          <w:p>
            <w:r>
              <w:t>Middle steps</w:t>
            </w:r>
          </w:p>
        </w:tc>
        <w:tc>
          <w:tcPr>
            <w:tcW w:type="dxa" w:w="2556"/>
          </w:tcPr>
          <w:p>
            <w:r>
              <w:t>Result and check</w:t>
            </w:r>
          </w:p>
        </w:tc>
      </w:tr>
      <w:tr>
        <w:tc>
          <w:tcPr>
            <w:tcW w:type="dxa" w:w="2556"/>
          </w:tcPr>
          <w:p>
            <w:r/>
          </w:p>
        </w:tc>
        <w:tc>
          <w:tcPr>
            <w:tcW w:type="dxa" w:w="2556"/>
          </w:tcPr>
          <w:p>
            <w:r/>
          </w:p>
        </w:tc>
        <w:tc>
          <w:tcPr>
            <w:tcW w:type="dxa" w:w="2556"/>
          </w:tcPr>
          <w:p>
            <w:r/>
          </w:p>
        </w:tc>
        <w:tc>
          <w:tcPr>
            <w:tcW w:type="dxa" w:w="2556"/>
          </w:tcPr>
          <w:p>
            <w:r/>
          </w:p>
        </w:tc>
      </w:tr>
    </w:tbl>
    <w:p>
      <w:pPr>
        <w:pStyle w:val="Heading3"/>
      </w:pPr>
      <w:r>
        <w:t>The step I completed without help, and the hint I needed</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03. Individual reasoning check</w:t>
      </w:r>
    </w:p>
    <w:p>
      <w:r>
        <w:t>Use the worked case for Requirements and service boundaries. Proposed explanation: “The worked result establishes every future case”. Decide whether this explanation is supported. Point to the step or supplied fact that decides; explain your repair if needed.</w:t>
      </w:r>
    </w:p>
    <w:p>
      <w:pPr>
        <w:pStyle w:val="Heading3"/>
      </w:pPr>
      <w:r>
        <w:t>My explanation before partner discussion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04. Independent transfer case</w:t>
      </w:r>
    </w:p>
    <w:p>
      <w:pPr>
        <w:pStyle w:val="Heading3"/>
      </w:pPr>
      <w:r>
        <w:t>Independent case: Apply a new case independently</w:t>
      </w:r>
    </w:p>
    <w:p>
      <w:r>
        <w:t>A read-only inventory service is asked to list item A and delete item B. Inventory says A is available. Trace permitted work.</w:t>
      </w:r>
    </w:p>
    <w:p>
      <w:pPr>
        <w:pStyle w:val="Heading3"/>
      </w:pPr>
      <w:r>
        <w:t>My independent explanation, trace and limits</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Attempt this case before feedback. Record any help. Earlier examples below are further practice; a case already practised with feedback cannot establish fresh transfer.</w:t>
      </w:r>
    </w:p>
    <w:p>
      <w:pPr>
        <w:pStyle w:val="Heading1"/>
      </w:pPr>
      <w:r>
        <w:t>05. W1 Explain the mechanism</w:t>
      </w:r>
    </w:p>
    <w:p>
      <w:r>
        <w:t>Explain the weekly mechanism in your own words. Use the worked scenario to name its input, decision rule and output.</w:t>
      </w:r>
    </w:p>
    <w:p>
      <w:pPr>
        <w:pStyle w:val="Heading3"/>
      </w:pPr>
      <w:r>
        <w:t>My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06. W2 Trace the worked case</w:t>
      </w:r>
    </w:p>
    <w:p>
      <w:r>
        <w:t>A request asks for Tuesday meeting time and to move it to Wednesday. The public schedule lists Tuesday 16:00. Show the intermediate steps and give the conclusion with its scope.</w:t>
      </w:r>
    </w:p>
    <w:p>
      <w:pPr>
        <w:pStyle w:val="Heading3"/>
      </w:pPr>
      <w:r>
        <w:t>My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07. W3 Audit the limit</w:t>
      </w:r>
    </w:p>
    <w:p>
      <w:r>
        <w:t>A report omits this qualification: A helpful answer does not grant an operation that the service contract excludes. Explain how omitting it could change a reader's interpretation, and write an accurate replacement.</w:t>
      </w:r>
    </w:p>
    <w:p>
      <w:pPr>
        <w:pStyle w:val="Heading3"/>
      </w:pPr>
      <w:r>
        <w:t>My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08. W4 Apply a new case independently</w:t>
      </w:r>
    </w:p>
    <w:p>
      <w:r>
        <w:t>A read-only inventory service is asked to list item A and delete item B. Inventory says A is available. Trace permitted work.</w:t>
      </w:r>
    </w:p>
    <w:p>
      <w:pPr>
        <w:pStyle w:val="Heading3"/>
      </w:pPr>
      <w:r>
        <w:t>My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09. W5 Design a revealing follow-up</w:t>
      </w:r>
    </w:p>
    <w:p>
      <w:r>
        <w:t>For the worked scenario, propose one additional case that could reveal a failure, describe its expected outcome before running it, and explain what would need to remain fixed for a fair comparison. Do not reuse W4 as a new final test after receiving feedback.</w:t>
      </w:r>
    </w:p>
    <w:p>
      <w:pPr>
        <w:pStyle w:val="Heading3"/>
      </w:pPr>
      <w:r>
        <w:t>My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10. Project checkpoint and reflection</w:t>
      </w:r>
    </w:p>
    <w:p>
      <w:r>
        <w:t>Add a labelled requirements and service boundaries evidence sheet to Grounded Learning Service. Show how you can explain the mechanism and terminology of requirements and service boundaries. Use the supplied fictional case and keep its inputs, intermediate steps, calculation or prediction, and limitation. Connect this record to last week’s record; a matching answer without a trace is insufficient.</w:t>
      </w:r>
    </w:p>
    <w:p>
      <w:pPr>
        <w:pStyle w:val="Heading3"/>
      </w:pPr>
      <w:r>
        <w:t>My project change, supporting evidence and remaining limit</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11. Feedback, return check and learning record</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Evidence</w:t>
            </w:r>
          </w:p>
        </w:tc>
        <w:tc>
          <w:tcPr>
            <w:tcW w:type="dxa" w:w="5112"/>
          </w:tcPr>
          <w:p>
            <w:r>
              <w:t>My record</w:t>
            </w:r>
          </w:p>
        </w:tc>
      </w:tr>
      <w:tr>
        <w:tc>
          <w:tcPr>
            <w:tcW w:type="dxa" w:w="5112"/>
          </w:tcPr>
          <w:p>
            <w:r>
              <w:t>Worked alone / hint / model</w:t>
            </w:r>
          </w:p>
        </w:tc>
        <w:tc>
          <w:tcPr>
            <w:tcW w:type="dxa" w:w="5112"/>
          </w:tcPr>
          <w:p>
            <w:r/>
          </w:p>
        </w:tc>
      </w:tr>
      <w:tr>
        <w:tc>
          <w:tcPr>
            <w:tcW w:type="dxa" w:w="5112"/>
          </w:tcPr>
          <w:p>
            <w:r>
              <w:t>First step I repaired and why</w:t>
            </w:r>
          </w:p>
        </w:tc>
        <w:tc>
          <w:tcPr>
            <w:tcW w:type="dxa" w:w="5112"/>
          </w:tcPr>
          <w:p>
            <w:r/>
          </w:p>
        </w:tc>
      </w:tr>
      <w:tr>
        <w:tc>
          <w:tcPr>
            <w:tcW w:type="dxa" w:w="5112"/>
          </w:tcPr>
          <w:p>
            <w:r>
              <w:t>New case checked later; date and result</w:t>
            </w:r>
          </w:p>
        </w:tc>
        <w:tc>
          <w:tcPr>
            <w:tcW w:type="dxa" w:w="5112"/>
          </w:tcPr>
          <w:p>
            <w:r/>
          </w:p>
        </w:tc>
      </w:tr>
      <w:tr>
        <w:tc>
          <w:tcPr>
            <w:tcW w:type="dxa" w:w="5112"/>
          </w:tcPr>
          <w:p>
            <w:r>
              <w:t>What I can now explain without notes</w:t>
            </w:r>
          </w:p>
        </w:tc>
        <w:tc>
          <w:tcPr>
            <w:tcW w:type="dxa" w:w="5112"/>
          </w:tcPr>
          <w:p>
            <w:r/>
          </w:p>
        </w:tc>
      </w:tr>
      <w:tr>
        <w:tc>
          <w:tcPr>
            <w:tcW w:type="dxa" w:w="5112"/>
          </w:tcPr>
          <w:p>
            <w:r>
              <w:t>One remaining question</w:t>
            </w:r>
          </w:p>
        </w:tc>
        <w:tc>
          <w:tcPr>
            <w:tcW w:type="dxa" w:w="5112"/>
          </w:tcPr>
          <w:p>
            <w:r/>
          </w:p>
        </w:tc>
      </w:tr>
    </w:tbl>
    <w:p>
      <w:r>
        <w:t>Revisit this idea with your teacher after a delay. Familiarity is different from explaining and using it on a changed case.</w:t>
      </w:r>
    </w:p>
    <w:p>
      <w:pPr>
        <w:pStyle w:val="Heading1"/>
      </w:pPr>
      <w:r>
        <w:t>12. Pictorial case practice: Requirements and service boundaries</w:t>
      </w:r>
    </w:p>
    <w:p>
      <w:r>
        <w:t>Museum fact desk. A visitor asks the opening year of exhibit P and asks the bot to sell a ticket.</w:t>
      </w:r>
    </w:p>
    <w:p>
      <w:r>
        <w:t>Approved card P says 1912. The contract permits reading cards, not selling tickets.</w:t>
      </w:r>
    </w:p>
    <w:p>
      <w:r>
        <w:drawing>
          <wp:inline xmlns:a="http://schemas.openxmlformats.org/drawingml/2006/main" xmlns:pic="http://schemas.openxmlformats.org/drawingml/2006/picture">
            <wp:extent cx="5486400" cy="5185229"/>
            <wp:docPr id="1" name="Picture 1" descr="Requirements and service boundaries. Read approved card: The supplied year is 1912.. Split the request: Answering the year and selling a ticket are separate operations.. Apply the boundary: Return 1912 with card P; do not sell a ticket."/>
            <wp:cNvGraphicFramePr>
              <a:graphicFrameLocks noChangeAspect="1"/>
            </wp:cNvGraphicFramePr>
            <a:graphic>
              <a:graphicData uri="http://schemas.openxmlformats.org/drawingml/2006/picture">
                <pic:pic>
                  <pic:nvPicPr>
                    <pic:cNvPr id="0" name="academy-visual-ai-6-1.png"/>
                    <pic:cNvPicPr/>
                  </pic:nvPicPr>
                  <pic:blipFill>
                    <a:blip r:embed="rId9"/>
                    <a:stretch>
                      <a:fillRect/>
                    </a:stretch>
                  </pic:blipFill>
                  <pic:spPr>
                    <a:xfrm>
                      <a:off x="0" y="0"/>
                      <a:ext cx="5486400" cy="5185229"/>
                    </a:xfrm>
                    <a:prstGeom prst="rect"/>
                  </pic:spPr>
                </pic:pic>
              </a:graphicData>
            </a:graphic>
          </wp:inline>
        </w:drawing>
      </w:r>
    </w:p>
    <w:p>
      <w:r>
        <w:t>Split the museum visitor’s request into two operations. Which can the service perform for P, and what happens to each operation when Q has no approved card?</w:t>
      </w:r>
    </w:p>
    <w:p>
      <w:pPr>
        <w:pStyle w:val="Heading3"/>
      </w:pPr>
      <w:r>
        <w:t>My picture-based explanation and changed-case prediction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Support used: alone / hint / worked example. This record is practice evidence.</w:t>
      </w:r>
    </w:p>
    <w:p>
      <w:r>
        <w:t>Project connection: For the Grounded Learning Service, retain an annotated trace and the changed-case result. Name the contract or evidence that makes the deciding step valid, so another team can review it.</w:t>
      </w:r>
    </w:p>
    <w:sectPr w:rsidR="00FC693F" w:rsidRPr="0006063C" w:rsidSect="00034616">
      <w:pgSz w:w="12240" w:h="15840"/>
      <w:pgMar w:top="936" w:right="1008" w:bottom="936" w:left="1008"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40"/>
    </w:pPr>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174C69"/>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174C69"/>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174C69"/>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