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ai-6/3</w:t>
      </w:r>
    </w:p>
    <w:p>
      <w:pPr>
        <w:pStyle w:val="Title"/>
      </w:pPr>
      <w:r>
        <w:t>Typed contracts and schemas</w:t>
      </w:r>
    </w:p>
    <w:p>
      <w:r>
        <w:t>Project: Grounded Learning Service</w:t>
      </w:r>
    </w:p>
    <w:p>
      <w:pPr>
        <w:pStyle w:val="Heading1"/>
      </w:pPr>
      <w:r>
        <w:t>01. Recall and choose your starting point</w:t>
      </w:r>
    </w:p>
    <w:p>
      <w:r>
        <w:t>Try the recall before opening notes. Then use a different colour or a labelled second line to correct your explanation.</w:t>
      </w:r>
    </w:p>
    <w:p>
      <w:pPr>
        <w:pStyle w:val="Heading3"/>
      </w:pPr>
      <w:r>
        <w:t>Architecture and data flow</w:t>
      </w:r>
    </w:p>
    <w:p>
      <w:r>
        <w:t>Without opening the old lesson, explain one key idea from Architecture and data flow.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Typed contracts and schemas.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Typed contracts and schemas.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Classify counts 0, -1, "3", False under the stated contract.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worked case</w:t>
      </w:r>
    </w:p>
    <w:p>
      <w:r>
        <w:t>Input room_id=B, requested_count=true passes a naive isinstance(value, int) check in Python.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limit</w:t>
      </w:r>
    </w:p>
    <w:p>
      <w:r>
        <w:t>A report omits this qualification: Schema-valid input can still be unauthorised or semantically unsuitable; subsequent checks remain necessary.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new case independently</w:t>
      </w:r>
    </w:p>
    <w:p>
      <w:r>
        <w:t>Classify counts 0, -1, "3", False under the stated contract.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typed contracts and schemas evidence sheet to Grounded Learning Service. Show how you can explain the mechanism and terminology of typed contracts and schemas.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Typed contracts and schemas</w:t>
      </w:r>
    </w:p>
    <w:p>
      <w:r>
        <w:t>A labelled sample record. A lab tool accepts a string sample_id and an integer count of at least zero.</w:t>
      </w:r>
    </w:p>
    <w:p>
      <w:r>
        <w:t>A={sample_id:"jar-8",count:4}; B={sample_id:"jar-9",count:"4"}. No type conversion is allowed.</w:t>
      </w:r>
    </w:p>
    <w:p>
      <w:r>
        <w:drawing>
          <wp:inline xmlns:a="http://schemas.openxmlformats.org/drawingml/2006/main" xmlns:pic="http://schemas.openxmlformats.org/drawingml/2006/picture">
            <wp:extent cx="5486400" cy="5145314"/>
            <wp:docPr id="1" name="Picture 1" descr="Typed contracts and schemas. Inspect A: The fields and integer count satisfy the contract.. Inspect B: The quoted count is a string, so B fails the type check.. Return status: Accept A; reject B before running the lab operation."/>
            <wp:cNvGraphicFramePr>
              <a:graphicFrameLocks noChangeAspect="1"/>
            </wp:cNvGraphicFramePr>
            <a:graphic>
              <a:graphicData uri="http://schemas.openxmlformats.org/drawingml/2006/picture">
                <pic:pic>
                  <pic:nvPicPr>
                    <pic:cNvPr id="0" name="academy-visual-ai-6-3.png"/>
                    <pic:cNvPicPr/>
                  </pic:nvPicPr>
                  <pic:blipFill>
                    <a:blip r:embed="rId9"/>
                    <a:stretch>
                      <a:fillRect/>
                    </a:stretch>
                  </pic:blipFill>
                  <pic:spPr>
                    <a:xfrm>
                      <a:off x="0" y="0"/>
                      <a:ext cx="5486400" cy="5145314"/>
                    </a:xfrm>
                    <a:prstGeom prst="rect"/>
                  </pic:spPr>
                </pic:pic>
              </a:graphicData>
            </a:graphic>
          </wp:inline>
        </w:drawing>
      </w:r>
    </w:p>
    <w:p>
      <w:r>
        <w:t>Compare A’s count 4 with B’s count "4". Which record passes, which gate rejects B, and why does changing A’s count to -1 create a different failure?</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Grounded Learning Service, retain an annotated trace and the changed-case result. Name the contract or evidence that makes the deciding step valid, so another team can review it.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