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ai-6/7</w:t>
      </w:r>
    </w:p>
    <w:p>
      <w:pPr>
        <w:pStyle w:val="Title"/>
      </w:pPr>
      <w:r>
        <w:t>Testing pure components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Least privilege and tool scopes</w:t>
      </w:r>
    </w:p>
    <w:p>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Configuration and secrets</w:t>
      </w:r>
    </w:p>
    <w:p>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Requirements and service boundaries</w:t>
      </w:r>
    </w:p>
    <w:p>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Testing pure components.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Testing pure components.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Capacity 9 with used 0, 9, 10 and Boolean True. Give outcomes.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Capacity 12, used 5; capacity 12, used 12; capacity 12, used 13.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Passing unit cases for a pure function does not establish integration permissions or model-dependent behaviour.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Capacity 9 with used 0, 9, 10 and Boolean True. Give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Testing pure components</w:t>
      </w:r>
    </w:p>
    <w:p>
      <w:r>
        <w:t>Test a room formatter alone. A pure function returns "Room " plus a supplied positive integer.</w:t>
      </w:r>
    </w:p>
    <w:p>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r>
        <w:t>Predict the formatter outputs for 7 and 12, including spacing. Why does input 0 need rejection under this contract rather than an ordinary formatted response?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