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ai-6/23</w:t>
      </w:r>
    </w:p>
    <w:p>
      <w:pPr>
        <w:pStyle w:val="Title"/>
      </w:pPr>
      <w:r>
        <w:t>Deployment environments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Queues and asynchronous work</w:t>
      </w:r>
    </w:p>
    <w:p>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 retention and deletion</w:t>
      </w:r>
    </w:p>
    <w:p>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External side effects and recovery</w:t>
      </w:r>
    </w:p>
    <w:p>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Deployment environments.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Deployment environments.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Development uses fake records but a production token. What boundary is violated?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Staging configuration points to production storage while the interface displays staging.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Passing staging tests does not prove production limits or operational conditions are identical.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Development uses fake records but a production token. What boundary is violated?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deployment environments evidence sheet to Grounded Learning Service. Show how you can explain the mechanism and terminology of deployment environments.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Deployment environments</w:t>
      </w:r>
    </w:p>
    <w:p>
      <w:r>
        <w:t>Separate rehearsal and live service. Staging rehearses a new answer version with fictional records; production serves approved school records.</w:t>
      </w:r>
    </w:p>
    <w:p>
      <w: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r>
        <w:t>Identify the staging data and credential boundary. Why must the rehearsal stop if its credential reaches production even though the process is labelled staging?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