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ai-6/24</w:t>
      </w:r>
    </w:p>
    <w:p>
      <w:pPr>
        <w:pStyle w:val="Title"/>
      </w:pPr>
      <w:r>
        <w:t>Release and rollback</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Deployment environments</w:t>
      </w:r>
    </w:p>
    <w:p>
      <w:r>
        <w:t>Without opening the old lesson, explain one key idea from Deployment environments.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Caching and stale information</w:t>
      </w:r>
    </w:p>
    <w:p>
      <w:r>
        <w:t>Without opening the old lesson, explain one key idea from Caching and stale information.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Untrusted input boundaries</w:t>
      </w:r>
    </w:p>
    <w:p>
      <w:r>
        <w:t>Without opening the old lesson, explain one key idea from Untrusted input boundaries.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Release and rollback.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Release and rollback.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New release changes corpus and prompt. Old prompt requires old field names absent from the new corpus. Is reverting prompt alone valid?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After deployment v2 creates schema2 records; operator proposes rollback code alone to v1.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rollback plan needs testing; an available old binary is not sufficient recovery evidence.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New release changes corpus and prompt. Old prompt requires old field names absent from the new corpus. Is reverting prompt alone valid?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release and rollback evidence sheet to Grounded Learning Service. Show how you can explain the mechanism and terminology of release and rollback.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Release and rollback</w:t>
      </w:r>
    </w:p>
    <w:p>
      <w:r>
        <w:t>A higher score can still block release. Version B is proposed to replace A; every privacy gate is mandatory.</w:t>
      </w:r>
    </w:p>
    <w:p>
      <w:r>
        <w:t>A passes 8/10 correctness cases. B passes 9/10 but fails one mandatory privacy check.</w:t>
      </w:r>
    </w:p>
    <w:p>
      <w:r>
        <w:drawing>
          <wp:inline xmlns:a="http://schemas.openxmlformats.org/drawingml/2006/main" xmlns:pic="http://schemas.openxmlformats.org/drawingml/2006/picture">
            <wp:extent cx="5486400" cy="5185229"/>
            <wp:docPr id="1" name="Picture 1" descr="Release and rollback. Compute quality: Correctness rises from 80% to 90% on these cases.. Apply privacy gate: The mandatory failure blocks B’s release.. Keep recovery ready: Retain the reviewed A version and documented rollback procedure."/>
            <wp:cNvGraphicFramePr>
              <a:graphicFrameLocks noChangeAspect="1"/>
            </wp:cNvGraphicFramePr>
            <a:graphic>
              <a:graphicData uri="http://schemas.openxmlformats.org/drawingml/2006/picture">
                <pic:pic>
                  <pic:nvPicPr>
                    <pic:cNvPr id="0" name="academy-visual-ai-6-24.png"/>
                    <pic:cNvPicPr/>
                  </pic:nvPicPr>
                  <pic:blipFill>
                    <a:blip r:embed="rId9"/>
                    <a:stretch>
                      <a:fillRect/>
                    </a:stretch>
                  </pic:blipFill>
                  <pic:spPr>
                    <a:xfrm>
                      <a:off x="0" y="0"/>
                      <a:ext cx="5486400" cy="5185229"/>
                    </a:xfrm>
                    <a:prstGeom prst="rect"/>
                  </pic:spPr>
                </pic:pic>
              </a:graphicData>
            </a:graphic>
          </wp:inline>
        </w:drawing>
      </w:r>
    </w:p>
    <w:p>
      <w:r>
        <w:t>Compute A’s and B’s correctness percentages. Why is B still blocked, and does passing a fresh privacy check automatically satisfy every release gate?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