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ai-6/25</w:t>
      </w:r>
    </w:p>
    <w:p>
      <w:pPr>
        <w:pStyle w:val="Title"/>
      </w:pPr>
      <w:r>
        <w:t>Monitoring quality drift</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Monitoring quality drift.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Reference window passes18/20; new window14/20.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alert identifies a condition for investigation, not a complete causal explanation.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Window A passes8/10; B passes12/20. Threshold70%.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Monitoring quality drift</w:t>
      </w:r>
    </w:p>
    <w:p>
      <w:r>
        <w:t>Monitor separate question slices. A service uses the same rubric on clear and ambiguous questions in two recorded weeks.</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r>
        <w:t>Compute both clear and ambiguous slice rates for A and B. Which slice weakens, and how should that slice be reported when no ambiguous questions are observed?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