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ai-6/30</w:t>
      </w:r>
    </w:p>
    <w:p>
      <w:pPr>
        <w:pStyle w:val="Title"/>
      </w:pPr>
      <w:r>
        <w:t>Security and privacy review</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Performance and cost experiments</w:t>
      </w:r>
    </w:p>
    <w:p>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escalation workflows</w:t>
      </w:r>
    </w:p>
    <w:p>
      <w:r>
        <w:t>Without opening the old lesson, explain one key idea from Human escalation workflows.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Security and privacy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Security and privacy review.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Service blocks direct teacher lookup but diagnostic export includes full teacher answers. Identify defect and a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Output denies teacher guide, but cache contains it under a student-accessible key.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Review findings are bounded by tested paths and threat assumptions, not a proof of complete security.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Service blocks direct teacher lookup but diagnostic export includes full teacher answers. Identify defect and a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Security and privacy review</w:t>
      </w:r>
    </w:p>
    <w:p>
      <w:r>
        <w:t>Review a private note’s path. A revision service reads a learner’s private practice note; analytics need counts only.</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r>
        <w:t>Trace private note content and analytics counts to their permitted readers. Why is storing full notes in the dashboard outside this design, and what risk can remain for tiny-group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