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ai-7/3</w:t>
      </w:r>
    </w:p>
    <w:p>
      <w:pPr>
        <w:pStyle w:val="Title"/>
      </w:pPr>
      <w:r>
        <w:t>Finding primary research</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Reading a research claim</w:t>
      </w:r>
    </w:p>
    <w:p>
      <w:r>
        <w:t>Without opening the old lesson, explain one key idea from Reading a research claim.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Finding primary research.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Finding primary research.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A search result describes a benchmark score, but the linked paper uses a different dataset. What should the comparison record contain?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A blog says experiment had100 cases; original methods say40 and supplementary version says60 after revision.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Being primary does not guarantee soundness; methods and evidence still require assessment.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A search result describes a benchmark score, but the linked paper uses a different dataset. What should the comparison record contain?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finding primary research evidence sheet to Reproducible AI Research Study. Show how you can explain the mechanism and terminology of finding primary research.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Finding primary research</w:t>
      </w:r>
    </w:p>
    <w:p>
      <w:r>
        <w:t>Find the source behind a summary. A blog describes a fictional benchmark improvement and links an original study report.</w:t>
      </w:r>
    </w:p>
    <w:p>
      <w:r>
        <w:t>Blog says "90% reliable". Original report records 9/10 correct on one fixed fictional task set and describes its labels.</w:t>
      </w:r>
    </w:p>
    <w:p>
      <w:r>
        <w:drawing>
          <wp:inline xmlns:a="http://schemas.openxmlformats.org/drawingml/2006/main" xmlns:pic="http://schemas.openxmlformats.org/drawingml/2006/picture">
            <wp:extent cx="5486400" cy="5225143"/>
            <wp:docPr id="1" name="Picture 1" descr="Finding primary research. Follow the primary link: Open the original report rather than treating the blog as the measurement.. Locate methods and results: Identify the ten cases, labels and nine correct results.. Record source details: Keep report version and page or table reference with the exact scoped result."/>
            <wp:cNvGraphicFramePr>
              <a:graphicFrameLocks noChangeAspect="1"/>
            </wp:cNvGraphicFramePr>
            <a:graphic>
              <a:graphicData uri="http://schemas.openxmlformats.org/drawingml/2006/picture">
                <pic:pic>
                  <pic:nvPicPr>
                    <pic:cNvPr id="0" name="academy-visual-ai-7-3.png"/>
                    <pic:cNvPicPr/>
                  </pic:nvPicPr>
                  <pic:blipFill>
                    <a:blip r:embed="rId9"/>
                    <a:stretch>
                      <a:fillRect/>
                    </a:stretch>
                  </pic:blipFill>
                  <pic:spPr>
                    <a:xfrm>
                      <a:off x="0" y="0"/>
                      <a:ext cx="5486400" cy="5225143"/>
                    </a:xfrm>
                    <a:prstGeom prst="rect"/>
                  </pic:spPr>
                </pic:pic>
              </a:graphicData>
            </a:graphic>
          </wp:inline>
        </w:drawing>
      </w:r>
    </w:p>
    <w:p>
      <w:r>
        <w:t>Separate what the blog claims from what the original report records. Which methods and denominator must be inspected, and what status is honest if the original report is unavailable?</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