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ai-7/5</w:t>
      </w:r>
    </w:p>
    <w:p>
      <w:pPr>
        <w:pStyle w:val="Title"/>
      </w:pPr>
      <w:r>
        <w:t>Replication and reproduction</w:t>
      </w:r>
    </w:p>
    <w:p>
      <w:r>
        <w:t>Project: Reproducible AI Research Study</w:t>
      </w:r>
    </w:p>
    <w:p>
      <w:pPr>
        <w:pStyle w:val="Heading1"/>
      </w:pPr>
      <w:r>
        <w:t>01. Recall and choose your starting point</w:t>
      </w:r>
    </w:p>
    <w:p>
      <w:r>
        <w:t>Try the recall before opening notes. Then use a different colour or a labelled second line to correct your explanation.</w:t>
      </w:r>
    </w:p>
    <w:p>
      <w:pPr>
        <w:pStyle w:val="Heading3"/>
      </w:pPr>
      <w:r>
        <w:t>Methods results and limitations</w:t>
      </w:r>
    </w:p>
    <w:p>
      <w:r>
        <w:t>Without opening the old lesson, explain one key idea from Methods results and limitations.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Reading a research claim</w:t>
      </w:r>
    </w:p>
    <w:p>
      <w:r>
        <w:t>Without opening the old lesson, explain one key idea from Reading a research claim.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Replication and reproduction.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Replication and reproduction.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Team repeats old six queries, then evaluates four newly reserved queries. How many distinct cases and which are new evidence?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Partner reruns the same eight cases and gets the same score. Team counts sixteen independent cases.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Exact replay can preserve the original design flaws; new data can change conditions and needs its own record.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Team repeats old six queries, then evaluates four newly reserved queries. How many distinct cases and which are new evidence?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replication and reproduction evidence sheet to Reproducible AI Research Study. Show how you can explain the mechanism and terminology of replication and reproduction.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Replication and reproduction</w:t>
      </w:r>
    </w:p>
    <w:p>
      <w:r>
        <w:t>Same records versus new experiment. A team first reruns a supplied analysis, then collects new records with the same protocol.</w:t>
      </w:r>
    </w:p>
    <w:p>
      <w:r>
        <w:t>Original recorded labels: [1,0,1,1]. Analysis counts correct cases. New independent set: [1,1,0,0]. Binary entries mean 1=correct and 0=incorrect.</w:t>
      </w:r>
    </w:p>
    <w:p>
      <w:r>
        <w:drawing>
          <wp:inline xmlns:a="http://schemas.openxmlformats.org/drawingml/2006/main" xmlns:pic="http://schemas.openxmlformats.org/drawingml/2006/picture">
            <wp:extent cx="5486400" cy="2641600"/>
            <wp:docPr id="1" name="Picture 1" descr="Different four-record datasets"/>
            <wp:cNvGraphicFramePr>
              <a:graphicFrameLocks noChangeAspect="1"/>
            </wp:cNvGraphicFramePr>
            <a:graphic>
              <a:graphicData uri="http://schemas.openxmlformats.org/drawingml/2006/picture">
                <pic:pic>
                  <pic:nvPicPr>
                    <pic:cNvPr id="0" name="academy-detail-ai-7-5.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Replication and reproduction. Reproduce the analysis: Reusing the supplied four records gives 3/4=75%.. Repeat the protocol: The new four-record set gives 2/4=50%.. Compare purposes: The first checks computational reproduction; the second probes repeatability with new observations."/>
            <wp:cNvGraphicFramePr>
              <a:graphicFrameLocks noChangeAspect="1"/>
            </wp:cNvGraphicFramePr>
            <a:graphic>
              <a:graphicData uri="http://schemas.openxmlformats.org/drawingml/2006/picture">
                <pic:pic>
                  <pic:nvPicPr>
                    <pic:cNvPr id="0" name="academy-visual-ai-7-5.png"/>
                    <pic:cNvPicPr/>
                  </pic:nvPicPr>
                  <pic:blipFill>
                    <a:blip r:embed="rId10"/>
                    <a:stretch>
                      <a:fillRect/>
                    </a:stretch>
                  </pic:blipFill>
                  <pic:spPr>
                    <a:xfrm>
                      <a:off x="0" y="0"/>
                      <a:ext cx="5486400" cy="5185229"/>
                    </a:xfrm>
                    <a:prstGeom prst="rect"/>
                  </pic:spPr>
                </pic:pic>
              </a:graphicData>
            </a:graphic>
          </wp:inline>
        </w:drawing>
      </w:r>
    </w:p>
    <w:p>
      <w:r>
        <w:t>Calculate the scores from the original and new four-record sets. Which activity reproduces saved analysis, which repeats the protocol, and why does a different rerun of the original data need investigation?</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Reproducible AI Research Study, retain an annotated worked trace and the changed-case reasoning. Connect the claim to its records, units and assumptions so another investigator can challenge or reproduce it.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