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ai-7/8</w:t>
      </w:r>
    </w:p>
    <w:p>
      <w:pPr>
        <w:pStyle w:val="Title"/>
      </w:pPr>
      <w:r>
        <w:t>Baselines and fair comparisons</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Hypotheses and measurable outcomes</w:t>
      </w:r>
    </w:p>
    <w:p>
      <w:r>
        <w:t>Without opening the old lesson, explain one key idea from Hypotheses and measurable outcomes.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Replication and reproduction</w:t>
      </w:r>
    </w:p>
    <w:p>
      <w:r>
        <w:t>Without opening the old lesson, explain one key idea from Replication and reproduction.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Reading a research claim</w:t>
      </w:r>
    </w:p>
    <w:p>
      <w:r>
        <w:t>Without opening the old lesson, explain one key idea from Reading a research claim.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Baselines and fair comparisons.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Baselines and fair comparisons.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Model uses12 seconds and baseline2 on each case. Task has a3-second budget. How should results be framed?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Assistant gets current register; baseline gets an obsolete one. Assistant scores higher.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 baseline is credible relative to the task, not merely a procedure easy to outperform.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Model uses12 seconds and baseline2 on each case. Task has a3-second budget. How should results be framed?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baselines and fair comparisons evidence sheet to Reproducible AI Research Study. Show how you can explain the mechanism and terminology of baselines and fair comparisons.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Baselines and fair comparisons</w:t>
      </w:r>
    </w:p>
    <w:p>
      <w:r>
        <w:t>A baseline deserves a fair chance. Two classifiers answer the same eight fixed questions with the same allowed sources.</w:t>
      </w:r>
    </w:p>
    <w:p>
      <w:r>
        <w:t>Simple rule A: 6/8 correct. New model B: 7/8 correct. No test case is used to tune either version.</w:t>
      </w:r>
    </w:p>
    <w:p>
      <w:r>
        <w:drawing>
          <wp:inline xmlns:a="http://schemas.openxmlformats.org/drawingml/2006/main" xmlns:pic="http://schemas.openxmlformats.org/drawingml/2006/picture">
            <wp:extent cx="5486400" cy="2641600"/>
            <wp:docPr id="1" name="Picture 1" descr="Two versions on eight shared cases"/>
            <wp:cNvGraphicFramePr>
              <a:graphicFrameLocks noChangeAspect="1"/>
            </wp:cNvGraphicFramePr>
            <a:graphic>
              <a:graphicData uri="http://schemas.openxmlformats.org/drawingml/2006/picture">
                <pic:pic>
                  <pic:nvPicPr>
                    <pic:cNvPr id="0" name="academy-detail-ai-7-8.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Baselines and fair comparisons. Declare baseline: A uses a simple documented rule rather than an intentionally weak placeholder.. Measure fairly: A is 75%; B is 87.5% on the same eight cases.. Interpret cautiously: B adds one correct case here; compare resources and failure types too."/>
            <wp:cNvGraphicFramePr>
              <a:graphicFrameLocks noChangeAspect="1"/>
            </wp:cNvGraphicFramePr>
            <a:graphic>
              <a:graphicData uri="http://schemas.openxmlformats.org/drawingml/2006/picture">
                <pic:pic>
                  <pic:nvPicPr>
                    <pic:cNvPr id="0" name="academy-visual-ai-7-8.png"/>
                    <pic:cNvPicPr/>
                  </pic:nvPicPr>
                  <pic:blipFill>
                    <a:blip r:embed="rId10"/>
                    <a:stretch>
                      <a:fillRect/>
                    </a:stretch>
                  </pic:blipFill>
                  <pic:spPr>
                    <a:xfrm>
                      <a:off x="0" y="0"/>
                      <a:ext cx="5486400" cy="5225143"/>
                    </a:xfrm>
                    <a:prstGeom prst="rect"/>
                  </pic:spPr>
                </pic:pic>
              </a:graphicData>
            </a:graphic>
          </wp:inline>
        </w:drawing>
      </w:r>
    </w:p>
    <w:p>
      <w:r>
        <w:t>Calculate 6/8 and 7/8 correctness and name the one-case gain. Why is giving B the answer key incompatible with an unseen comparison to the simple baseline?</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