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ai-7/10</w:t>
      </w:r>
    </w:p>
    <w:p>
      <w:pPr>
        <w:pStyle w:val="Title"/>
      </w:pPr>
      <w:r>
        <w:t>Confounders and controls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Confounders and controls.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New method uses better corpus and different queries while old method uses the original set.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Controls address specified alternatives, not every possible unknown confounder.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Every method A run is morning and B run afternoon; network speed varies by time.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Confounders and controls</w:t>
      </w:r>
    </w:p>
    <w:p>
      <w:r>
        <w:t>Separate background from class. Training data show every healthy leaf on white paper and every spotted leaf on blue paper.</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r>
        <w:t>Draw the four condition/background combinations. Which variables were coupled before, and why would collecting only healthy-white and spotted-blue again leave the confounding unresolved?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