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ai-7/12</w:t>
      </w:r>
    </w:p>
    <w:p>
      <w:pPr>
        <w:pStyle w:val="Title"/>
      </w:pPr>
      <w:r>
        <w:t>Uncertainty intervals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Sampling variability</w:t>
      </w:r>
    </w:p>
    <w:p>
      <w:r>
        <w:t>Without opening the old lesson, explain one key idea from Sampling variability.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Experimental units and independence</w:t>
      </w:r>
    </w:p>
    <w:p>
      <w:r>
        <w:t>Without opening the old lesson, explain one key idea from Experimental units and independence.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literature comparison matrix</w:t>
      </w:r>
    </w:p>
    <w:p>
      <w:r>
        <w:t>Without opening the old lesson, explain one key idea from A literature comparison matrix.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Uncertainty intervals.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Uncertainty intervals.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Mean20, n25, known sigma5 and critical1.96. Compute interval and name one assumption.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Observed mean10, n16, sigma2. Compute standard error, margin and interval.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narrow interval can be precisely biased; sampling independence and representativeness must be justified.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Mean20, n25, known sigma5 and critical1.96. Compute interval and name one assumption.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uncertainty intervals evidence sheet to Reproducible AI Research Study. Show how you can explain the mechanism and terminology of uncertainty intervals.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Uncertainty intervals</w:t>
      </w:r>
    </w:p>
    <w:p>
      <w:r>
        <w:t>Read a supplied uncertainty interval. A fictional study supplies an interval for a mean time difference under its stated sampling model.</w:t>
      </w:r>
    </w:p>
    <w:p>
      <w:r>
        <w:t>Estimated difference B−A is -0.8 seconds; supplied 95% confidence interval is [-1.4,-0.2] seconds. Assume the study’s interval method is appropriate.</w:t>
      </w:r>
    </w:p>
    <w:p>
      <w:r>
        <w:drawing>
          <wp:inline xmlns:a="http://schemas.openxmlformats.org/drawingml/2006/main" xmlns:pic="http://schemas.openxmlformats.org/drawingml/2006/picture">
            <wp:extent cx="5486400" cy="3077029"/>
            <wp:docPr id="1" name="Picture 1" descr="Supplied interval for B minus A time"/>
            <wp:cNvGraphicFramePr>
              <a:graphicFrameLocks noChangeAspect="1"/>
            </wp:cNvGraphicFramePr>
            <a:graphic>
              <a:graphicData uri="http://schemas.openxmlformats.org/drawingml/2006/picture">
                <pic:pic>
                  <pic:nvPicPr>
                    <pic:cNvPr id="0" name="academy-detail-ai-7-1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Uncertainty intervals. Locate the estimate: -0.8 lies between the interval endpoints.. Interpret the sign: Negative B−A means B took less time under this measurement convention.. Respect coverage meaning: 95% describes the method’s long-run coverage, not a 95% probability for this fixed parameter."/>
            <wp:cNvGraphicFramePr>
              <a:graphicFrameLocks noChangeAspect="1"/>
            </wp:cNvGraphicFramePr>
            <a:graphic>
              <a:graphicData uri="http://schemas.openxmlformats.org/drawingml/2006/picture">
                <pic:pic>
                  <pic:nvPicPr>
                    <pic:cNvPr id="0" name="academy-visual-ai-7-12.png"/>
                    <pic:cNvPicPr/>
                  </pic:nvPicPr>
                  <pic:blipFill>
                    <a:blip r:embed="rId10"/>
                    <a:stretch>
                      <a:fillRect/>
                    </a:stretch>
                  </pic:blipFill>
                  <pic:spPr>
                    <a:xfrm>
                      <a:off x="0" y="0"/>
                      <a:ext cx="5486400" cy="5225143"/>
                    </a:xfrm>
                    <a:prstGeom prst="rect"/>
                  </pic:spPr>
                </pic:pic>
              </a:graphicData>
            </a:graphic>
          </wp:inline>
        </w:drawing>
      </w:r>
    </w:p>
    <w:p>
      <w:r>
        <w:t>Locate -0.8 and zero relative to the supplied interval [-1.4,-0.2]. Interpret the sign and confidence-method meaning, then describe what changes with interval [-1.4,0.3].</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