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ai-7/13</w:t>
      </w:r>
    </w:p>
    <w:p>
      <w:pPr>
        <w:pStyle w:val="Title"/>
      </w:pPr>
      <w:r>
        <w:t>Effect size and practical importance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Uncertainty intervals</w:t>
      </w:r>
    </w:p>
    <w:p>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Confounders and controls</w:t>
      </w:r>
    </w:p>
    <w:p>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Hypotheses and measurable outcomes</w:t>
      </w:r>
    </w:p>
    <w:p>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Effect size and practical importance.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Effect size and practical importance.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Baseline6, 8, 10; candidate5, 7, 9. Useful mean gain at least1.5.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Baseline times10, 12, 8; candidate8, 9, 7 seconds. Useful gain threshold2 seconds.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Baseline6, 8, 10; candidate5, 7, 9. Useful mean gain at least1.5.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Effect size and practical importance</w:t>
      </w:r>
    </w:p>
    <w:p>
      <w:r>
        <w:t>An improvement with a practical threshold. A team compares error rates against a predeclared practical threshold.</w:t>
      </w:r>
    </w:p>
    <w:p>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r>
        <w:t>Calculate the absolute error-rate reduction from 20/1000 to 15/1000. Does it meet the ten-fewer-errors threshold, and what changes when B has eight errors?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