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ai-7/15</w:t>
      </w:r>
    </w:p>
    <w:p>
      <w:pPr>
        <w:pStyle w:val="Title"/>
      </w:pPr>
      <w:r>
        <w:t>Multiple comparisons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Statistical tests and assumptions</w:t>
      </w:r>
    </w:p>
    <w:p>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intervals</w:t>
      </w:r>
    </w:p>
    <w:p>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Experimental units and independence</w:t>
      </w:r>
    </w:p>
    <w:p>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Multiple comparisons.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Multiple comparisons.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Four tests have p-values .01, .02, .2, .9. Compute threshold and decisions.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Five tests have p-values .009, .012, .3, .4, .8.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Adjustment cannot repair invalid tests, post-hoc outcome selection or unreported analyses.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Four tests have p-values .01, .02, .2, .9. Compute threshold and decisions.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Multiple comparisons</w:t>
      </w:r>
    </w:p>
    <w:p>
      <w:r>
        <w:t>Six declared prompt comparisons. A team performs six valid hypothesis tests and applies a predeclared Bonferroni familywise threshold.</w:t>
      </w:r>
    </w:p>
    <w:p>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r>
        <w:t>Calculate the six-test cutoff and identify which supplied p-values reject. Why must the team count every planned comparison rather than report only its smallest p-value?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