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ai-7/18</w:t>
      </w:r>
    </w:p>
    <w:p>
      <w:pPr>
        <w:pStyle w:val="Title"/>
      </w:pPr>
      <w:r>
        <w:t>Dataset and benchmark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Dataset and benchmark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Ten benchmark rows include three copies of one source and seven other unique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rows include four copies of one source and eight others. Count unique units and name one coverage concern.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and benchmark limitations</w:t>
      </w:r>
    </w:p>
    <w:p>
      <w:r>
        <w:t>A benchmark can miss the intended setting. A plant model is evaluated on clean indoor photos but proposed for shaded outdoor photos.</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r>
        <w:t>Report the indoor benchmark with its denominator and missing condition. After two correct outdoor cases out of four are added, what slice rate is supported and what remains uncertain?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