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ai-7/20</w:t>
      </w:r>
    </w:p>
    <w:p>
      <w:pPr>
        <w:pStyle w:val="Title"/>
      </w:pPr>
      <w:r>
        <w:t>Privacy and data governance</w:t>
      </w:r>
    </w:p>
    <w:p>
      <w:r>
        <w:t>Project: Reproducible AI Research Study</w:t>
      </w:r>
    </w:p>
    <w:p>
      <w:pPr>
        <w:pStyle w:val="Heading1"/>
      </w:pPr>
      <w:r>
        <w:t>01. Recall and choose your starting point</w:t>
      </w:r>
    </w:p>
    <w:p>
      <w:r>
        <w:t>Try the recall before opening notes. Then use a different colour or a labelled second line to correct your explanation.</w:t>
      </w:r>
    </w:p>
    <w:p>
      <w:pPr>
        <w:pStyle w:val="Heading3"/>
      </w:pPr>
      <w:r>
        <w:t>Research ethics and consent</w:t>
      </w:r>
    </w:p>
    <w:p>
      <w:r>
        <w:t>Without opening the old lesson, explain one key idea from Research ethics and consent.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Sensitivity analysis</w:t>
      </w:r>
    </w:p>
    <w:p>
      <w:r>
        <w:t>Without opening the old lesson, explain one key idea from Sensitivity analysis.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Statistical tests and assumptions</w:t>
      </w:r>
    </w:p>
    <w:p>
      <w:r>
        <w:t>Without opening the old lesson, explain one key idea from Statistical tests and assumptions.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02. Practise with fading help</w:t>
      </w:r>
    </w:p>
    <w:p>
      <w:r>
        <w:t>Use W2: Trace the worked case for Privacy and data governance.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Individual reasoning check</w:t>
      </w:r>
    </w:p>
    <w:p>
      <w:r>
        <w:t>Use the worked case for Privacy and data governance.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Independent transfer case</w:t>
      </w:r>
    </w:p>
    <w:p>
      <w:pPr>
        <w:pStyle w:val="Heading3"/>
      </w:pPr>
      <w:r>
        <w:t>Independent case: Apply a new case independently</w:t>
      </w:r>
    </w:p>
    <w:p>
      <w:r>
        <w:t>Aggregate contains one member in a subgroup; policy forbids subgroup reports smaller than5. Decide.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1"/>
      </w:pPr>
      <w:r>
        <w:t>05. W1 Explain the mechanism</w:t>
      </w:r>
    </w:p>
    <w:p>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Trace the worked case</w:t>
      </w:r>
    </w:p>
    <w:p>
      <w:r>
        <w:t>Export has coded ID, exact birth date, classroom and rare condition. Team calls it anonymous because names are removed.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Audit the limit</w:t>
      </w:r>
    </w:p>
    <w:p>
      <w:r>
        <w:t>A report omits this qualification: A size threshold or coding scheme alone does not guarantee privacy.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W4 Apply a new case independently</w:t>
      </w:r>
    </w:p>
    <w:p>
      <w:r>
        <w:t>Aggregate contains one member in a subgroup; policy forbids subgroup reports smaller than5. Decide.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Project checkpoint and reflection</w:t>
      </w:r>
    </w:p>
    <w:p>
      <w:r>
        <w:t>Add a labelled privacy and data governance evidence sheet to Reproducible AI Research Study. Show how you can explain the mechanism and terminology of privacy and data governance.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return check and learning record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r>
        <w:t>Revisit this idea with your teacher after a delay. Familiarity is different from explaining and using it on a changed case.</w:t>
      </w:r>
    </w:p>
    <w:p>
      <w:pPr>
        <w:pStyle w:val="Heading1"/>
      </w:pPr>
      <w:r>
        <w:t>12. Pictorial case practice: Privacy and data governance</w:t>
      </w:r>
    </w:p>
    <w:p>
      <w:r>
        <w:t>Govern data by purpose and access. A fictional project needs task scores and random participant codes, but not names.</w:t>
      </w:r>
    </w:p>
    <w:p>
      <w:r>
        <w:t>The analysis table holds codes and scores. A separate restricted key links codes to names only for authorised withdrawal handling.</w:t>
      </w:r>
    </w:p>
    <w:p>
      <w:r>
        <w:drawing>
          <wp:inline xmlns:a="http://schemas.openxmlformats.org/drawingml/2006/main" xmlns:pic="http://schemas.openxmlformats.org/drawingml/2006/picture">
            <wp:extent cx="5486400" cy="5185229"/>
            <wp:docPr id="1" name="Picture 1" descr="Privacy and data governance. Separate tables: Keep analysis records apart from the identity key.. Limit access: Analysts receive scores and codes, not the name linkage.. Define retention: Apply the approved deletion schedule to both stores and listed copies."/>
            <wp:cNvGraphicFramePr>
              <a:graphicFrameLocks noChangeAspect="1"/>
            </wp:cNvGraphicFramePr>
            <a:graphic>
              <a:graphicData uri="http://schemas.openxmlformats.org/drawingml/2006/picture">
                <pic:pic>
                  <pic:nvPicPr>
                    <pic:cNvPr id="0" name="academy-visual-ai-7-20.png"/>
                    <pic:cNvPicPr/>
                  </pic:nvPicPr>
                  <pic:blipFill>
                    <a:blip r:embed="rId9"/>
                    <a:stretch>
                      <a:fillRect/>
                    </a:stretch>
                  </pic:blipFill>
                  <pic:spPr>
                    <a:xfrm>
                      <a:off x="0" y="0"/>
                      <a:ext cx="5486400" cy="5185229"/>
                    </a:xfrm>
                    <a:prstGeom prst="rect"/>
                  </pic:spPr>
                </pic:pic>
              </a:graphicData>
            </a:graphic>
          </wp:inline>
        </w:drawing>
      </w:r>
    </w:p>
    <w:p>
      <w:r>
        <w:t>Point to the analysis table and the restricted identity key. Why are the codes pseudonymous rather than guaranteed anonymous, and what changes if the key is published?</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Support used: alone / hint / worked example. This record is practice evidence.</w:t>
      </w:r>
    </w:p>
    <w:p>
      <w:r>
        <w:t>Project connection: For the Reproducible AI Research Study, retain an annotated worked trace and the changed-case reasoning. Connect the claim to its records, units and assumptions so another investigator can challenge or reproduce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