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ai-7/21</w:t>
      </w:r>
    </w:p>
    <w:p>
      <w:pPr>
        <w:pStyle w:val="Title"/>
      </w:pPr>
      <w:r>
        <w:t>Predefining an analysis plan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Privacy and data governance</w:t>
      </w:r>
    </w:p>
    <w:p>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and benchmark limitations</w:t>
      </w:r>
    </w:p>
    <w:p>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Multiple comparisons</w:t>
      </w:r>
    </w:p>
    <w:p>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Predefining an analysis plan.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Predefining an analysis plan.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Plan excludes malformed inputs by a rule fixed beforehand. Three of15 are malformed; 9 of12 eligible pass.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Plan includes all20 cases. After results, the team removes four failed cases because they make the graph look worse.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prespecified plan can still be flawed; transparency prevents hidden changes, not invalid assumptions.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Plan excludes malformed inputs by a rule fixed beforehand. Three of15 are malformed; 9 of12 eligible pass.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Predefining an analysis plan</w:t>
      </w:r>
    </w:p>
    <w:p>
      <w:r>
        <w:t>Freeze decisions before the result. A team records its outcome, exclusions and analysis before evaluating a reserved set.</w:t>
      </w:r>
    </w:p>
    <w:p>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r>
        <w:t>Apply the recorded exclusion rule. Can two readable model failures be removed, and how must a necessary later plan change be disclosed?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