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ai-7/23</w:t>
      </w:r>
    </w:p>
    <w:p>
      <w:pPr>
        <w:pStyle w:val="Title"/>
      </w:pPr>
      <w:r>
        <w:t>Power and resource tradeoffs</w:t>
      </w:r>
    </w:p>
    <w:p>
      <w:r>
        <w:t>Project: Reproducible AI Research Study</w:t>
      </w:r>
    </w:p>
    <w:p>
      <w:pPr>
        <w:pStyle w:val="Heading1"/>
      </w:pPr>
      <w:r>
        <w:t>01. Recall and choose your starting point</w:t>
      </w:r>
    </w:p>
    <w:p>
      <w:r>
        <w:t>Try the recall before opening notes. Then use a different colour or a labelled second line to correct your explanation.</w:t>
      </w:r>
    </w:p>
    <w:p>
      <w:pPr>
        <w:pStyle w:val="Heading3"/>
      </w:pPr>
      <w:r>
        <w:t>Pilot experiments</w:t>
      </w:r>
    </w:p>
    <w:p>
      <w:r>
        <w:t>Without opening the old lesson, explain one key idea from Pilot experiments.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Privacy and data governance</w:t>
      </w:r>
    </w:p>
    <w:p>
      <w:r>
        <w:t>Without opening the old lesson, explain one key idea from Privacy and data governance.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Sensitivity analysis</w:t>
      </w:r>
    </w:p>
    <w:p>
      <w:r>
        <w:t>Without opening the old lesson, explain one key idea from Sensitivity analysis.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Power and resource tradeoffs.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Power and resource tradeoffs.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One hundred alternative trials detect70 at n30 and85 at n60; unit cost2. Compare.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For a fixed alternative100 simulations detect62 times at n20 and83 at n40. Per-unit cost3 credits.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Power estimates do not repair biased sampling or establish the probability a particular hypothesis is true.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One hundred alternative trials detect70 at n30 and85 at n60; unit cost2. Compare.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power and resource tradeoffs evidence sheet to Reproducible AI Research Study. Show how you can explain the mechanism and terminology of power and resource tradeoffs.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Power and resource tradeoffs</w:t>
      </w:r>
    </w:p>
    <w:p>
      <w:r>
        <w:t>A simulated detection-and-resource trade-off. A fictional simulation repeats a study under the same assumed alternative effect, using two independent-unit sample sizes.</w:t>
      </w:r>
    </w:p>
    <w:p>
      <w:r>
        <w:t>There are 100 simulation trials per design. At n=20, 60 detect the specified effect; at n=40, 80 detect it. Each independent unit costs 2 resource units. Same test and effect assumptions are used.</w:t>
      </w:r>
    </w:p>
    <w:p>
      <w:r>
        <w:drawing>
          <wp:inline xmlns:a="http://schemas.openxmlformats.org/drawingml/2006/main" xmlns:pic="http://schemas.openxmlformats.org/drawingml/2006/picture">
            <wp:extent cx="5486400" cy="3077029"/>
            <wp:docPr id="1" name="Picture 1" descr="Stipulated simulation and resource records"/>
            <wp:cNvGraphicFramePr>
              <a:graphicFrameLocks noChangeAspect="1"/>
            </wp:cNvGraphicFramePr>
            <a:graphic>
              <a:graphicData uri="http://schemas.openxmlformats.org/drawingml/2006/picture">
                <pic:pic>
                  <pic:nvPicPr>
                    <pic:cNvPr id="0" name="academy-detail-ai-7-23.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Power and resource tradeoffs. Estimate simulated detection: Observed detection fractions are 60/100=60% and 80/100=80%.. Calculate design cost: n=20 costs 40 resource units; n=40 costs 80 units.. Compare the trade-off: Doubling cost adds 20 percentage points of simulated detection under these assumptions."/>
            <wp:cNvGraphicFramePr>
              <a:graphicFrameLocks noChangeAspect="1"/>
            </wp:cNvGraphicFramePr>
            <a:graphic>
              <a:graphicData uri="http://schemas.openxmlformats.org/drawingml/2006/picture">
                <pic:pic>
                  <pic:nvPicPr>
                    <pic:cNvPr id="0" name="academy-visual-ai-7-23.png"/>
                    <pic:cNvPicPr/>
                  </pic:nvPicPr>
                  <pic:blipFill>
                    <a:blip r:embed="rId10"/>
                    <a:stretch>
                      <a:fillRect/>
                    </a:stretch>
                  </pic:blipFill>
                  <pic:spPr>
                    <a:xfrm>
                      <a:off x="0" y="0"/>
                      <a:ext cx="5486400" cy="5225143"/>
                    </a:xfrm>
                    <a:prstGeom prst="rect"/>
                  </pic:spPr>
                </pic:pic>
              </a:graphicData>
            </a:graphic>
          </wp:inline>
        </w:drawing>
      </w:r>
    </w:p>
    <w:p>
      <w:r>
        <w:t>Calculate both simulated detection fractions and resource costs. What additional detection is observed for the extra forty units, and does that establish power for an actual classroom study?</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Reproducible AI Research Study, retain an annotated worked trace and the changed-case reasoning. Connect the claim to its records, units and assumptions so another investigator can challenge or reproduce it.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