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ai-7/25</w:t>
      </w:r>
    </w:p>
    <w:p>
      <w:pPr>
        <w:pStyle w:val="Title"/>
      </w:pPr>
      <w:r>
        <w:t>Running the primary experiment</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Running the primary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Running the primary experiment.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cases:9 pass, 1 fail, 2 unassessed. Report same metrics.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Twenty eligible cases:16 pass, 2 fail, 2 unassessed after outage. Plan reports completed rate plus coverage.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Following the plan and reporting deviations are required even when results contradict the hypothesis.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Twelve cases:9 pass, 1 fail, 2 unassessed. Report same metrics.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Running the primary experiment</w:t>
      </w:r>
    </w:p>
    <w:p>
      <w:r>
        <w:t>Run the frozen experiment. A research team freezes versions A and B, labels and scoring before a six-case primary run.</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r>
        <w:t>Compute A’s and B’s six-case counts and identify the cases that favour each. How must a B revision tuned on case four be labelled when evaluated again on the same set?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