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ai-7/26</w:t>
      </w:r>
    </w:p>
    <w:p>
      <w:pPr>
        <w:pStyle w:val="Title"/>
      </w:pPr>
      <w:r>
        <w:t>Inspecting failures and anomalies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Power and resource tradeoffs</w:t>
      </w:r>
    </w:p>
    <w:p>
      <w:r>
        <w:t>Without opening the old lesson, explain one key idea from Power and resource tradeoffs.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and data governance</w:t>
      </w:r>
    </w:p>
    <w:p>
      <w:r>
        <w:t>Without opening the old lesson, explain one key idea from Privacy and data governance.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Inspecting failures and anomalies.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Inspecting failures and anomalies.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Values2,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Durations1, 2, 2, 15 seconds are all valid traces. Team deletes15 as an outlier without a rule.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Post-hoc exclusion based on an unwanted outcome can distort the conclusion.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Values2, 3, 4, 20 are valid. Compute mean and median and propose an honest investigation.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Inspecting failures and anomalies</w:t>
      </w:r>
    </w:p>
    <w:p>
      <w:r>
        <w:t>Inspect an anomaly without erasing it. A timing study records four runs and notices one unusually long duration.</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r>
        <w:t>Calculate mean and median for 2,2,2,10. What does the timeout log establish, and why is deleting that inconvenient record incompatible with the stated plan?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