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ai-7/27</w:t>
      </w:r>
    </w:p>
    <w:p>
      <w:pPr>
        <w:pStyle w:val="Title"/>
      </w:pPr>
      <w:r>
        <w:t>Robustness across conditions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Inspecting failures and anomalies</w:t>
      </w:r>
    </w:p>
    <w:p>
      <w:r>
        <w:t>Without opening the old lesson, explain one key idea from Inspecting failures and anomalies.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Reproducible environment and records</w:t>
      </w:r>
    </w:p>
    <w:p>
      <w:r>
        <w:t>Without opening the old lesson, explain one key idea from Reproducible environment and records.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Predefining an analysis plan</w:t>
      </w:r>
    </w:p>
    <w:p>
      <w:r>
        <w:t>Without opening the old lesson, explain one key idea from Predefining an analysis plan.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Robustness across conditions.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Robustness across conditions.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Baseline/candidate on conditionA:6/8, 7/8; conditionB:5/8, 4/8. Compare paired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Method passes9/10 on current sources and5/10 on outdated sources.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Robustness is bounded by the tested variations and independent evidence policy.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Baseline/candidate on conditionA:6/8, 7/8; conditionB:5/8, 4/8. Compare paired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robustness across conditions evidence sheet to Reproducible AI Research Study. Show how you can explain the mechanism and terminology of robustness across conditions.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Robustness across conditions</w:t>
      </w:r>
    </w:p>
    <w:p>
      <w:r>
        <w:t>Check robustness across conditions. A fixed classifier is tested separately on indoor and shaded outdoor cases.</w:t>
      </w:r>
    </w:p>
    <w:p>
      <w:r>
        <w:t>Indoor 7/8 correct; outdoor 3/8 correct. The rubric and frozen model are unchanged.</w:t>
      </w:r>
    </w:p>
    <w:p>
      <w:r>
        <w:drawing>
          <wp:inline xmlns:a="http://schemas.openxmlformats.org/drawingml/2006/main" xmlns:pic="http://schemas.openxmlformats.org/drawingml/2006/picture">
            <wp:extent cx="5486400" cy="2641600"/>
            <wp:docPr id="1" name="Picture 1" descr="Fixed model across conditions"/>
            <wp:cNvGraphicFramePr>
              <a:graphicFrameLocks noChangeAspect="1"/>
            </wp:cNvGraphicFramePr>
            <a:graphic>
              <a:graphicData uri="http://schemas.openxmlformats.org/drawingml/2006/picture">
                <pic:pic>
                  <pic:nvPicPr>
                    <pic:cNvPr id="0" name="academy-detail-ai-7-27.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Robustness across conditions. Name both slices: Each condition has eight labelled cases.. Compute rates: Indoor is 87.5%; outdoor is 37.5%.. Bound robustness: The large observed gap motivates investigation rather than claiming condition independence."/>
            <wp:cNvGraphicFramePr>
              <a:graphicFrameLocks noChangeAspect="1"/>
            </wp:cNvGraphicFramePr>
            <a:graphic>
              <a:graphicData uri="http://schemas.openxmlformats.org/drawingml/2006/picture">
                <pic:pic>
                  <pic:nvPicPr>
                    <pic:cNvPr id="0" name="academy-visual-ai-7-27.png"/>
                    <pic:cNvPicPr/>
                  </pic:nvPicPr>
                  <pic:blipFill>
                    <a:blip r:embed="rId10"/>
                    <a:stretch>
                      <a:fillRect/>
                    </a:stretch>
                  </pic:blipFill>
                  <pic:spPr>
                    <a:xfrm>
                      <a:off x="0" y="0"/>
                      <a:ext cx="5486400" cy="5185229"/>
                    </a:xfrm>
                    <a:prstGeom prst="rect"/>
                  </pic:spPr>
                </pic:pic>
              </a:graphicData>
            </a:graphic>
          </wp:inline>
        </w:drawing>
      </w:r>
    </w:p>
    <w:p>
      <w:r>
        <w:t>Calculate indoor, outdoor and combined rates. Which relevant weakness disappears from view when only the combined rate is reported?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