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ai-7/29</w:t>
      </w:r>
    </w:p>
    <w:p>
      <w:pPr>
        <w:pStyle w:val="Title"/>
      </w:pPr>
      <w:r>
        <w:t>Figures that preserve evidence</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Negative results and claim revision</w:t>
      </w:r>
    </w:p>
    <w:p>
      <w:r>
        <w:t>Without opening the old lesson, explain one key idea from Negative results and claim revision.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Inspecting failures and anomalies</w:t>
      </w:r>
    </w:p>
    <w:p>
      <w:r>
        <w:t>Without opening the old lesson, explain one key idea from Inspecting failures and anomalies.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Power and resource tradeoffs</w:t>
      </w:r>
    </w:p>
    <w:p>
      <w:r>
        <w:t>Without opening the old lesson, explain one key idea from Power and resource tradeoffs.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Figures that preserve evidence.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Figures that preserve evidence.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CountsA8/10, B9/15 are plotted as8 versus9 without denominators. Correct.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RatesA80%, B82% are plotted on bars starting79%, making B look several times larger.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Visual choices must reflect the intended metric and cannot imply causal certainty from association.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CountsA8/10, B9/15 are plotted as8 versus9 without denominators. Correct.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figures that preserve evidence evidence sheet to Reproducible AI Research Study. Show how you can explain the mechanism and terminology of figures that preserve evidence.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Figures that preserve evidence</w:t>
      </w:r>
    </w:p>
    <w:p>
      <w:r>
        <w:t>Draw bars that preserve the comparison. A report plots correct counts for two versions on the same ten cases.</w:t>
      </w:r>
    </w:p>
    <w:p>
      <w:r>
        <w:t>A has 6/10 correct; B has 8/10. The count axis should start at zero and identify the ten-case denominator.</w:t>
      </w:r>
    </w:p>
    <w:p>
      <w:r>
        <w:drawing>
          <wp:inline xmlns:a="http://schemas.openxmlformats.org/drawingml/2006/main" xmlns:pic="http://schemas.openxmlformats.org/drawingml/2006/picture">
            <wp:extent cx="5486400" cy="2641600"/>
            <wp:docPr id="1" name="Picture 1" descr="Zero-based correct counts"/>
            <wp:cNvGraphicFramePr>
              <a:graphicFrameLocks noChangeAspect="1"/>
            </wp:cNvGraphicFramePr>
            <a:graphic>
              <a:graphicData uri="http://schemas.openxmlformats.org/drawingml/2006/picture">
                <pic:pic>
                  <pic:nvPicPr>
                    <pic:cNvPr id="0" name="academy-detail-ai-7-29.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Figures that preserve evidence. Draw honest bars: Use heights 6 and 8 on a zero-based correct-count axis.. Label the scale: State counts out of ten, not an unspecified quality score.. Keep context nearby: Note the fixed tasks and absence of a significance test."/>
            <wp:cNvGraphicFramePr>
              <a:graphicFrameLocks noChangeAspect="1"/>
            </wp:cNvGraphicFramePr>
            <a:graphic>
              <a:graphicData uri="http://schemas.openxmlformats.org/drawingml/2006/picture">
                <pic:pic>
                  <pic:nvPicPr>
                    <pic:cNvPr id="0" name="academy-visual-ai-7-29.png"/>
                    <pic:cNvPicPr/>
                  </pic:nvPicPr>
                  <pic:blipFill>
                    <a:blip r:embed="rId10"/>
                    <a:stretch>
                      <a:fillRect/>
                    </a:stretch>
                  </pic:blipFill>
                  <pic:spPr>
                    <a:xfrm>
                      <a:off x="0" y="0"/>
                      <a:ext cx="5486400" cy="5145314"/>
                    </a:xfrm>
                    <a:prstGeom prst="rect"/>
                  </pic:spPr>
                </pic:pic>
              </a:graphicData>
            </a:graphic>
          </wp:inline>
        </w:drawing>
      </w:r>
    </w:p>
    <w:p>
      <w:r>
        <w:t>Draw count bars for 6/10 and 8/10 using the stated axis. Why must the denominator and fixed task context remain visible, and what distortion arises from an undisclosed axis start at five?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